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5BBD" w:rsidRPr="00A55BBD" w:rsidRDefault="00A55BBD" w:rsidP="00A55BBD">
      <w:pPr>
        <w:rPr>
          <w:rFonts w:ascii="Arial Narrow" w:hAnsi="Arial Narrow"/>
          <w:b/>
          <w:sz w:val="22"/>
          <w:szCs w:val="22"/>
        </w:rPr>
      </w:pPr>
      <w:r w:rsidRPr="00A55BBD">
        <w:rPr>
          <w:rFonts w:ascii="Arial Narrow" w:hAnsi="Arial Narrow"/>
          <w:b/>
          <w:sz w:val="22"/>
          <w:szCs w:val="22"/>
        </w:rPr>
        <w:t xml:space="preserve">LIBRANZA, NEGATIVA DEL EMPLEADOR </w:t>
      </w:r>
      <w:r w:rsidR="003A0B33">
        <w:rPr>
          <w:rFonts w:ascii="Arial Narrow" w:hAnsi="Arial Narrow"/>
          <w:b/>
          <w:sz w:val="22"/>
          <w:szCs w:val="22"/>
        </w:rPr>
        <w:t>A</w:t>
      </w:r>
      <w:r w:rsidRPr="00A55BBD">
        <w:rPr>
          <w:rFonts w:ascii="Arial Narrow" w:hAnsi="Arial Narrow"/>
          <w:b/>
          <w:sz w:val="22"/>
          <w:szCs w:val="22"/>
        </w:rPr>
        <w:t xml:space="preserve"> SUSCRIPCIÓN DE ACUERDO  </w:t>
      </w:r>
    </w:p>
    <w:p w:rsidR="00A55BBD" w:rsidRPr="00A55BBD" w:rsidRDefault="00A55BBD" w:rsidP="00A55BBD">
      <w:pPr>
        <w:rPr>
          <w:rFonts w:ascii="Arial Narrow" w:hAnsi="Arial Narrow"/>
          <w:sz w:val="22"/>
          <w:szCs w:val="22"/>
        </w:rPr>
      </w:pPr>
      <w:r w:rsidRPr="00A55BBD">
        <w:rPr>
          <w:rFonts w:ascii="Arial Narrow" w:hAnsi="Arial Narrow" w:cs="Arial"/>
          <w:sz w:val="22"/>
          <w:szCs w:val="22"/>
        </w:rPr>
        <w:t xml:space="preserve">Concepto </w:t>
      </w:r>
      <w:bookmarkStart w:id="0" w:name="Num_radicado2"/>
      <w:r w:rsidRPr="00A55BBD">
        <w:rPr>
          <w:rFonts w:ascii="Arial Narrow" w:hAnsi="Arial Narrow"/>
          <w:sz w:val="22"/>
          <w:szCs w:val="22"/>
        </w:rPr>
        <w:t>2016126620-005</w:t>
      </w:r>
      <w:bookmarkEnd w:id="0"/>
      <w:r w:rsidRPr="00A55BBD">
        <w:rPr>
          <w:rFonts w:ascii="Arial Narrow" w:hAnsi="Arial Narrow"/>
          <w:sz w:val="22"/>
          <w:szCs w:val="22"/>
        </w:rPr>
        <w:t xml:space="preserve"> del 18 de enero de 2017</w:t>
      </w:r>
    </w:p>
    <w:p w:rsidR="00A55BBD" w:rsidRPr="00A55BBD" w:rsidRDefault="00A55BBD" w:rsidP="00A55BBD">
      <w:pPr>
        <w:rPr>
          <w:rFonts w:ascii="Arial Narrow" w:hAnsi="Arial Narrow"/>
          <w:sz w:val="22"/>
          <w:szCs w:val="22"/>
        </w:rPr>
      </w:pPr>
      <w:r w:rsidRPr="00A55BBD">
        <w:rPr>
          <w:rFonts w:ascii="Arial Narrow" w:hAnsi="Arial Narrow"/>
          <w:sz w:val="22"/>
          <w:szCs w:val="22"/>
        </w:rPr>
        <w:t xml:space="preserve">         </w:t>
      </w:r>
    </w:p>
    <w:p w:rsidR="00A55BBD" w:rsidRPr="00A55BBD" w:rsidRDefault="00A55BBD" w:rsidP="00A55BBD">
      <w:pPr>
        <w:jc w:val="both"/>
        <w:rPr>
          <w:rFonts w:ascii="Arial Narrow" w:hAnsi="Arial Narrow" w:cs="Arial"/>
          <w:i/>
          <w:color w:val="000000"/>
          <w:sz w:val="22"/>
          <w:szCs w:val="22"/>
          <w:lang w:val="es-CO" w:eastAsia="es-CO"/>
        </w:rPr>
      </w:pPr>
      <w:r w:rsidRPr="00A55BBD">
        <w:rPr>
          <w:rFonts w:ascii="Arial Narrow" w:hAnsi="Arial Narrow" w:cs="Arial"/>
          <w:b/>
          <w:sz w:val="22"/>
          <w:szCs w:val="22"/>
        </w:rPr>
        <w:t>Síntesis:</w:t>
      </w:r>
      <w:r w:rsidRPr="00A55BBD">
        <w:rPr>
          <w:rFonts w:ascii="Arial Narrow" w:hAnsi="Arial Narrow" w:cs="Arial"/>
          <w:sz w:val="22"/>
          <w:szCs w:val="22"/>
        </w:rPr>
        <w:t xml:space="preserve"> </w:t>
      </w:r>
      <w:r w:rsidRPr="00A55BBD">
        <w:rPr>
          <w:rFonts w:ascii="Arial Narrow" w:hAnsi="Arial Narrow" w:cs="Arial"/>
          <w:i/>
          <w:sz w:val="22"/>
          <w:szCs w:val="22"/>
        </w:rPr>
        <w:t>El a</w:t>
      </w:r>
      <w:proofErr w:type="spellStart"/>
      <w:r w:rsidRPr="00A55BBD">
        <w:rPr>
          <w:rFonts w:ascii="Arial Narrow" w:hAnsi="Arial Narrow" w:cs="Arial"/>
          <w:i/>
          <w:color w:val="000000"/>
          <w:sz w:val="22"/>
          <w:szCs w:val="22"/>
          <w:lang w:val="es-CO" w:eastAsia="es-CO"/>
        </w:rPr>
        <w:t>rtículo</w:t>
      </w:r>
      <w:proofErr w:type="spellEnd"/>
      <w:r w:rsidRPr="00A55BBD">
        <w:rPr>
          <w:rFonts w:ascii="Arial Narrow" w:hAnsi="Arial Narrow" w:cs="Arial"/>
          <w:i/>
          <w:color w:val="000000"/>
          <w:sz w:val="22"/>
          <w:szCs w:val="22"/>
          <w:lang w:val="es-CO" w:eastAsia="es-CO"/>
        </w:rPr>
        <w:t xml:space="preserve"> 6° de la Ley de Libranza señala la obligación del empleador o entidad pagadora de realizar los descuentos autorizados por los beneficiarios de los créditos y trasladar dichas cuotas a las entidades operadoras correspondientes, advirtiendo que el empleador o entidad pagadora no podrá negarse injustificadamente a la suscripción de dicho acuerdo, sin precisar en qué eventos estos podrían argumentar justa causa para negarse a tal suscripción. En ese orden, toda vez que ni la Ley de Libranza ni sus decretos reglamentarios establecen taxativamente las razones que justifiquen la negativa del empleador o entidad pagadora para suscribir un acuerdo de libranza, le corresponderá a estos, en el caso de optar por la negativa a dicha suscripción, manifestar los fundamentos legales o constitucionales de tal decisión.</w:t>
      </w:r>
    </w:p>
    <w:p w:rsidR="00A55BBD" w:rsidRPr="00A55BBD" w:rsidRDefault="00A55BBD" w:rsidP="00A55BBD">
      <w:pPr>
        <w:rPr>
          <w:rFonts w:ascii="Arial Narrow" w:hAnsi="Arial Narrow" w:cs="Arial"/>
          <w:i/>
          <w:sz w:val="22"/>
          <w:szCs w:val="22"/>
          <w:lang w:val="es-CO"/>
        </w:rPr>
      </w:pPr>
    </w:p>
    <w:p w:rsidR="00A55BBD" w:rsidRPr="00A55BBD" w:rsidRDefault="00A55BBD" w:rsidP="00A55BBD">
      <w:pPr>
        <w:rPr>
          <w:rFonts w:ascii="Arial Narrow" w:hAnsi="Arial Narrow" w:cs="Arial"/>
          <w:sz w:val="22"/>
          <w:szCs w:val="22"/>
        </w:rPr>
      </w:pPr>
    </w:p>
    <w:p w:rsidR="00A55BBD" w:rsidRPr="00A55BBD" w:rsidRDefault="00A55BBD" w:rsidP="00A55BBD">
      <w:pPr>
        <w:autoSpaceDE w:val="0"/>
        <w:autoSpaceDN w:val="0"/>
        <w:adjustRightInd w:val="0"/>
        <w:jc w:val="both"/>
        <w:rPr>
          <w:rFonts w:ascii="Arial Narrow" w:hAnsi="Arial Narrow" w:cs="Arial"/>
          <w:color w:val="000000"/>
          <w:sz w:val="22"/>
          <w:szCs w:val="22"/>
          <w:lang w:val="es-CO" w:eastAsia="es-CO"/>
        </w:rPr>
      </w:pPr>
      <w:r w:rsidRPr="00A55BBD">
        <w:rPr>
          <w:rFonts w:ascii="Arial Narrow" w:hAnsi="Arial Narrow" w:cs="Arial"/>
          <w:sz w:val="22"/>
          <w:szCs w:val="22"/>
        </w:rPr>
        <w:t xml:space="preserve">« (…) correo electrónico mediante el cual formula dos preguntas relacionadas con la Ley 1527 de 2012 </w:t>
      </w:r>
      <w:r w:rsidRPr="00A55BBD">
        <w:rPr>
          <w:rFonts w:ascii="Arial Narrow" w:hAnsi="Arial Narrow" w:cs="Arial"/>
          <w:color w:val="000000"/>
          <w:sz w:val="22"/>
          <w:szCs w:val="22"/>
          <w:lang w:val="es-CO" w:eastAsia="es-CO"/>
        </w:rPr>
        <w:t>(Ley de Libranza</w:t>
      </w:r>
    </w:p>
    <w:p w:rsidR="00A55BBD" w:rsidRPr="00A55BBD" w:rsidRDefault="00A55BBD" w:rsidP="00A55BBD">
      <w:pPr>
        <w:autoSpaceDE w:val="0"/>
        <w:autoSpaceDN w:val="0"/>
        <w:adjustRightInd w:val="0"/>
        <w:jc w:val="both"/>
        <w:rPr>
          <w:rFonts w:ascii="Arial Narrow" w:hAnsi="Arial Narrow" w:cs="Arial"/>
          <w:color w:val="000000"/>
          <w:sz w:val="22"/>
          <w:szCs w:val="22"/>
          <w:lang w:val="es-CO" w:eastAsia="es-CO"/>
        </w:rPr>
      </w:pPr>
    </w:p>
    <w:p w:rsidR="00A55BBD" w:rsidRPr="00A55BBD" w:rsidRDefault="00A55BBD" w:rsidP="00A55BBD">
      <w:pPr>
        <w:autoSpaceDE w:val="0"/>
        <w:autoSpaceDN w:val="0"/>
        <w:adjustRightInd w:val="0"/>
        <w:jc w:val="both"/>
        <w:rPr>
          <w:rFonts w:ascii="Arial Narrow" w:hAnsi="Arial Narrow" w:cs="Arial"/>
          <w:sz w:val="22"/>
          <w:szCs w:val="22"/>
        </w:rPr>
      </w:pPr>
      <w:r w:rsidRPr="00A55BBD">
        <w:rPr>
          <w:rFonts w:ascii="Arial Narrow" w:hAnsi="Arial Narrow" w:cs="Arial"/>
          <w:color w:val="000000"/>
          <w:sz w:val="22"/>
          <w:szCs w:val="22"/>
          <w:lang w:val="es-CO" w:eastAsia="es-CO"/>
        </w:rPr>
        <w:t>De modo preliminar, consideramos pertinente manifestar que el presente pronunciamiento contiene una opinión de carácter general y abstracto sobre el tema consultado, por ende no está dirigido a definir el alcance de los derechos y obligaciones de las partes en un negocio particular ni tiene efectos vinculantes. Efectuada esta precisión, procedemos a absolver sus interrogantes en el orden planteado en la consulta, así:</w:t>
      </w:r>
    </w:p>
    <w:p w:rsidR="00A55BBD" w:rsidRPr="00A55BBD" w:rsidRDefault="00A55BBD" w:rsidP="00A55BBD">
      <w:pPr>
        <w:autoSpaceDE w:val="0"/>
        <w:autoSpaceDN w:val="0"/>
        <w:adjustRightInd w:val="0"/>
        <w:jc w:val="both"/>
        <w:rPr>
          <w:rFonts w:ascii="Arial Narrow" w:hAnsi="Arial Narrow" w:cs="Arial"/>
          <w:sz w:val="22"/>
          <w:szCs w:val="22"/>
        </w:rPr>
      </w:pPr>
    </w:p>
    <w:p w:rsidR="00A55BBD" w:rsidRPr="00A55BBD" w:rsidRDefault="00A55BBD" w:rsidP="00A55BBD">
      <w:pPr>
        <w:autoSpaceDE w:val="0"/>
        <w:autoSpaceDN w:val="0"/>
        <w:adjustRightInd w:val="0"/>
        <w:ind w:left="567"/>
        <w:jc w:val="both"/>
        <w:rPr>
          <w:rFonts w:ascii="Arial Narrow" w:hAnsi="Arial Narrow" w:cs="Arial"/>
          <w:b/>
          <w:sz w:val="22"/>
          <w:szCs w:val="22"/>
        </w:rPr>
      </w:pPr>
      <w:r w:rsidRPr="00A55BBD">
        <w:rPr>
          <w:rFonts w:ascii="Arial Narrow" w:hAnsi="Arial Narrow" w:cs="Arial"/>
          <w:b/>
          <w:sz w:val="22"/>
          <w:szCs w:val="22"/>
        </w:rPr>
        <w:t>1. ¿Cuáles serían las razones justificadas para que un empleador o entidad pagadora se pueda negar a la suscripción de un acuerdo de libranza?</w:t>
      </w:r>
    </w:p>
    <w:p w:rsidR="00A55BBD" w:rsidRPr="00A55BBD" w:rsidRDefault="00A55BBD" w:rsidP="00A55BBD">
      <w:pPr>
        <w:autoSpaceDE w:val="0"/>
        <w:autoSpaceDN w:val="0"/>
        <w:adjustRightInd w:val="0"/>
        <w:jc w:val="both"/>
        <w:rPr>
          <w:rFonts w:ascii="Arial Narrow" w:hAnsi="Arial Narrow" w:cs="Arial"/>
          <w:sz w:val="22"/>
          <w:szCs w:val="22"/>
        </w:rPr>
      </w:pPr>
    </w:p>
    <w:p w:rsidR="00A55BBD" w:rsidRPr="00A55BBD" w:rsidRDefault="00A55BBD" w:rsidP="00A55BBD">
      <w:pPr>
        <w:jc w:val="both"/>
        <w:rPr>
          <w:rFonts w:ascii="Arial Narrow" w:hAnsi="Arial Narrow" w:cs="Arial"/>
          <w:color w:val="000000"/>
          <w:sz w:val="22"/>
          <w:szCs w:val="22"/>
          <w:lang w:val="es-CO" w:eastAsia="es-CO"/>
        </w:rPr>
      </w:pPr>
      <w:r w:rsidRPr="00A55BBD">
        <w:rPr>
          <w:rFonts w:ascii="Arial Narrow" w:hAnsi="Arial Narrow" w:cs="Arial"/>
          <w:color w:val="000000"/>
          <w:sz w:val="22"/>
          <w:szCs w:val="22"/>
          <w:lang w:val="es-CO" w:eastAsia="es-CO"/>
        </w:rPr>
        <w:t>En primer lugar, debe hacerse referencia al texto del artículo 6</w:t>
      </w:r>
      <w:r w:rsidR="0039470C">
        <w:rPr>
          <w:rFonts w:ascii="Arial Narrow" w:hAnsi="Arial Narrow" w:cs="Arial"/>
          <w:color w:val="000000"/>
          <w:sz w:val="22"/>
          <w:szCs w:val="22"/>
          <w:lang w:val="es-CO" w:eastAsia="es-CO"/>
        </w:rPr>
        <w:t>°</w:t>
      </w:r>
      <w:bookmarkStart w:id="1" w:name="_GoBack"/>
      <w:bookmarkEnd w:id="1"/>
      <w:r w:rsidRPr="00A55BBD">
        <w:rPr>
          <w:rFonts w:ascii="Arial Narrow" w:hAnsi="Arial Narrow" w:cs="Arial"/>
          <w:color w:val="000000"/>
          <w:sz w:val="22"/>
          <w:szCs w:val="22"/>
          <w:lang w:val="es-CO" w:eastAsia="es-CO"/>
        </w:rPr>
        <w:t xml:space="preserve"> de la Ley de Libranza, el cual señala la obligación del empleador o entidad pagadora de realizar los descuentos autorizados por los beneficiarios de los créditos y trasladar dichas cuotas a las entidades operadoras correspondientes, advirtiendo que el empleador o entidad pagadora no podrá negarse injustificadamente a la suscripción de dicho acuerdo, sin precisar en qué eventos estos podrían argumentar justa causa para negarse a tal suscripción.</w:t>
      </w:r>
    </w:p>
    <w:p w:rsidR="00A55BBD" w:rsidRPr="00A55BBD" w:rsidRDefault="00A55BBD" w:rsidP="00A55BBD">
      <w:pPr>
        <w:autoSpaceDE w:val="0"/>
        <w:autoSpaceDN w:val="0"/>
        <w:adjustRightInd w:val="0"/>
        <w:jc w:val="both"/>
        <w:rPr>
          <w:rFonts w:ascii="Arial Narrow" w:hAnsi="Arial Narrow" w:cs="Arial"/>
          <w:color w:val="000000"/>
          <w:sz w:val="22"/>
          <w:szCs w:val="22"/>
          <w:lang w:val="es-CO" w:eastAsia="es-CO"/>
        </w:rPr>
      </w:pPr>
    </w:p>
    <w:p w:rsidR="00A55BBD" w:rsidRPr="00A55BBD" w:rsidRDefault="00A55BBD" w:rsidP="00A55BBD">
      <w:pPr>
        <w:autoSpaceDE w:val="0"/>
        <w:autoSpaceDN w:val="0"/>
        <w:adjustRightInd w:val="0"/>
        <w:jc w:val="both"/>
        <w:rPr>
          <w:rFonts w:ascii="Arial Narrow" w:hAnsi="Arial Narrow" w:cs="Arial"/>
          <w:color w:val="000000"/>
          <w:sz w:val="22"/>
          <w:szCs w:val="22"/>
          <w:lang w:val="es-CO" w:eastAsia="es-CO"/>
        </w:rPr>
      </w:pPr>
      <w:r w:rsidRPr="00A55BBD">
        <w:rPr>
          <w:rFonts w:ascii="Arial Narrow" w:hAnsi="Arial Narrow" w:cs="Arial"/>
          <w:color w:val="000000"/>
          <w:sz w:val="22"/>
          <w:szCs w:val="22"/>
          <w:lang w:val="es-CO" w:eastAsia="es-CO"/>
        </w:rPr>
        <w:t>En ese orden, toda vez que ni la Ley de Libranza ni sus decretos reglamentarios establecen taxativamente las razones que justifiquen la negativa del empleador o entidad pagadora para suscribir un acuerdo de libranza, le corresponderá a estos, en el caso de optar por la negativa a dicha suscripción, manifestar los fundamentos legales o constitucionales de tal decisión.</w:t>
      </w:r>
    </w:p>
    <w:p w:rsidR="00A55BBD" w:rsidRPr="00A55BBD" w:rsidRDefault="00A55BBD" w:rsidP="00A55BBD">
      <w:pPr>
        <w:autoSpaceDE w:val="0"/>
        <w:autoSpaceDN w:val="0"/>
        <w:adjustRightInd w:val="0"/>
        <w:jc w:val="both"/>
        <w:rPr>
          <w:rFonts w:ascii="Arial Narrow" w:hAnsi="Arial Narrow" w:cs="Arial"/>
          <w:color w:val="000000"/>
          <w:sz w:val="22"/>
          <w:szCs w:val="22"/>
          <w:lang w:val="es-CO" w:eastAsia="es-CO"/>
        </w:rPr>
      </w:pPr>
    </w:p>
    <w:p w:rsidR="00A55BBD" w:rsidRPr="00A55BBD" w:rsidRDefault="00A55BBD" w:rsidP="00A55BBD">
      <w:pPr>
        <w:autoSpaceDE w:val="0"/>
        <w:autoSpaceDN w:val="0"/>
        <w:adjustRightInd w:val="0"/>
        <w:jc w:val="both"/>
        <w:rPr>
          <w:rFonts w:ascii="Arial Narrow" w:hAnsi="Arial Narrow" w:cs="Arial"/>
          <w:color w:val="000000"/>
          <w:sz w:val="22"/>
          <w:szCs w:val="22"/>
          <w:lang w:val="es-CO" w:eastAsia="es-CO"/>
        </w:rPr>
      </w:pPr>
      <w:r w:rsidRPr="00A55BBD">
        <w:rPr>
          <w:rFonts w:ascii="Arial Narrow" w:hAnsi="Arial Narrow" w:cs="Arial"/>
          <w:color w:val="000000"/>
          <w:sz w:val="22"/>
          <w:szCs w:val="22"/>
          <w:lang w:val="es-CO" w:eastAsia="es-CO"/>
        </w:rPr>
        <w:t>No obstante lo anterior, a título ilustrativo consideramos pertinente mencionar que con ocasión de la revisión de una acción de tutela, la Corte Constitucional señaló en la Sentencia T-891 de 2013</w:t>
      </w:r>
      <w:r w:rsidRPr="00A55BBD">
        <w:rPr>
          <w:rStyle w:val="Refdenotaalpie"/>
          <w:rFonts w:ascii="Arial Narrow" w:hAnsi="Arial Narrow" w:cs="Arial"/>
          <w:color w:val="000000"/>
          <w:sz w:val="22"/>
          <w:szCs w:val="22"/>
          <w:lang w:val="es-CO" w:eastAsia="es-CO"/>
        </w:rPr>
        <w:footnoteReference w:id="1"/>
      </w:r>
      <w:r w:rsidRPr="00A55BBD">
        <w:rPr>
          <w:rFonts w:ascii="Arial Narrow" w:hAnsi="Arial Narrow" w:cs="Arial"/>
          <w:color w:val="000000"/>
          <w:sz w:val="22"/>
          <w:szCs w:val="22"/>
          <w:lang w:val="es-CO" w:eastAsia="es-CO"/>
        </w:rPr>
        <w:t xml:space="preserve"> lo siguiente:</w:t>
      </w:r>
    </w:p>
    <w:p w:rsidR="00A55BBD" w:rsidRPr="00A55BBD" w:rsidRDefault="00A55BBD" w:rsidP="00A55BBD">
      <w:pPr>
        <w:autoSpaceDE w:val="0"/>
        <w:autoSpaceDN w:val="0"/>
        <w:adjustRightInd w:val="0"/>
        <w:jc w:val="both"/>
        <w:rPr>
          <w:rFonts w:ascii="Arial Narrow" w:hAnsi="Arial Narrow" w:cs="Arial"/>
          <w:color w:val="000000"/>
          <w:sz w:val="22"/>
          <w:szCs w:val="22"/>
          <w:lang w:val="es-CO" w:eastAsia="es-CO"/>
        </w:rPr>
      </w:pPr>
    </w:p>
    <w:p w:rsidR="00A55BBD" w:rsidRPr="00A55BBD" w:rsidRDefault="00A55BBD" w:rsidP="00A55BBD">
      <w:pPr>
        <w:autoSpaceDE w:val="0"/>
        <w:autoSpaceDN w:val="0"/>
        <w:adjustRightInd w:val="0"/>
        <w:ind w:left="567"/>
        <w:jc w:val="both"/>
        <w:rPr>
          <w:rFonts w:ascii="Arial Narrow" w:hAnsi="Arial Narrow" w:cs="Arial"/>
          <w:color w:val="000000"/>
          <w:sz w:val="22"/>
          <w:szCs w:val="22"/>
          <w:lang w:val="es-CO" w:eastAsia="es-CO"/>
        </w:rPr>
      </w:pPr>
      <w:r w:rsidRPr="00A55BBD">
        <w:rPr>
          <w:rFonts w:ascii="Arial Narrow" w:hAnsi="Arial Narrow" w:cs="Arial"/>
          <w:color w:val="000000"/>
          <w:sz w:val="22"/>
          <w:szCs w:val="22"/>
          <w:lang w:val="es-CO" w:eastAsia="es-CO"/>
        </w:rPr>
        <w:t xml:space="preserve">En ese orden, la prohibición consagrada en el artículo 53 de la Constitución cobija también los descuentos por libranza. Como se explicó, cuando media la voluntad de un juez, envestido de poder público, y bajo dos hipótesis muy concretas, es posible descontar más allá del salario mínimo. Pero esta es tan solo la excepción que encuentra explicación en el hecho de que en los </w:t>
      </w:r>
      <w:r w:rsidRPr="00A55BBD">
        <w:rPr>
          <w:rFonts w:ascii="Arial Narrow" w:hAnsi="Arial Narrow" w:cs="Arial"/>
          <w:color w:val="000000"/>
          <w:sz w:val="22"/>
          <w:szCs w:val="22"/>
          <w:lang w:val="es-CO" w:eastAsia="es-CO"/>
        </w:rPr>
        <w:lastRenderedPageBreak/>
        <w:t xml:space="preserve">embargos el trabajador no renuncia a nada. El descuento se da porque un juez de la república lo ordena. Por el contrario, </w:t>
      </w:r>
      <w:r w:rsidRPr="00A55BBD">
        <w:rPr>
          <w:rFonts w:ascii="Arial Narrow" w:hAnsi="Arial Narrow" w:cs="Arial"/>
          <w:color w:val="000000"/>
          <w:sz w:val="22"/>
          <w:szCs w:val="22"/>
          <w:u w:val="single"/>
          <w:lang w:val="es-CO" w:eastAsia="es-CO"/>
        </w:rPr>
        <w:t xml:space="preserve">cuando los descuentos surgen por la voluntad del trabajador, la </w:t>
      </w:r>
      <w:proofErr w:type="spellStart"/>
      <w:r w:rsidRPr="00A55BBD">
        <w:rPr>
          <w:rFonts w:ascii="Arial Narrow" w:hAnsi="Arial Narrow" w:cs="Arial"/>
          <w:color w:val="000000"/>
          <w:sz w:val="22"/>
          <w:szCs w:val="22"/>
          <w:u w:val="single"/>
          <w:lang w:val="es-CO" w:eastAsia="es-CO"/>
        </w:rPr>
        <w:t>irrenunciabilidad</w:t>
      </w:r>
      <w:proofErr w:type="spellEnd"/>
      <w:r w:rsidRPr="00A55BBD">
        <w:rPr>
          <w:rFonts w:ascii="Arial Narrow" w:hAnsi="Arial Narrow" w:cs="Arial"/>
          <w:color w:val="000000"/>
          <w:sz w:val="22"/>
          <w:szCs w:val="22"/>
          <w:u w:val="single"/>
          <w:lang w:val="es-CO" w:eastAsia="es-CO"/>
        </w:rPr>
        <w:t xml:space="preserve"> adquiere plena vigencia. Allí, en principio, no es posible afectar el salario mínimo del trabajador en casos donde, de acuerdo con la jurisprudencia estudiada, se ponga en riesgo o afecte el derecho al mínimo vital y vida digna de la persona. </w:t>
      </w:r>
      <w:r w:rsidRPr="00A55BBD">
        <w:rPr>
          <w:rFonts w:ascii="Arial Narrow" w:hAnsi="Arial Narrow" w:cs="Arial"/>
          <w:color w:val="000000"/>
          <w:sz w:val="22"/>
          <w:szCs w:val="22"/>
          <w:lang w:val="es-CO" w:eastAsia="es-CO"/>
        </w:rPr>
        <w:t>(Se subraya).</w:t>
      </w:r>
    </w:p>
    <w:p w:rsidR="00A55BBD" w:rsidRPr="00A55BBD" w:rsidRDefault="00A55BBD" w:rsidP="00A55BBD">
      <w:pPr>
        <w:jc w:val="both"/>
        <w:rPr>
          <w:rFonts w:ascii="Arial Narrow" w:hAnsi="Arial Narrow" w:cs="Arial"/>
          <w:color w:val="000000"/>
          <w:sz w:val="22"/>
          <w:szCs w:val="22"/>
          <w:lang w:val="es-CO" w:eastAsia="es-CO"/>
        </w:rPr>
      </w:pPr>
    </w:p>
    <w:p w:rsidR="00A55BBD" w:rsidRPr="00A55BBD" w:rsidRDefault="00A55BBD" w:rsidP="00A55BBD">
      <w:pPr>
        <w:ind w:left="567"/>
        <w:jc w:val="both"/>
        <w:rPr>
          <w:rFonts w:ascii="Arial Narrow" w:hAnsi="Arial Narrow" w:cs="Arial"/>
          <w:color w:val="000000"/>
          <w:sz w:val="22"/>
          <w:szCs w:val="22"/>
          <w:lang w:val="es-CO" w:eastAsia="es-CO"/>
        </w:rPr>
      </w:pPr>
      <w:r w:rsidRPr="00A55BBD">
        <w:rPr>
          <w:rFonts w:ascii="Arial Narrow" w:hAnsi="Arial Narrow" w:cs="Arial"/>
          <w:b/>
          <w:sz w:val="22"/>
          <w:szCs w:val="22"/>
        </w:rPr>
        <w:t>2. Teniendo en cuenta que si el empleador o entidad pagadora no cumple con la obligación señalada de descontar al asalariado, asociado, afiliado o pensionado por motivos que le sean imputables, será solidariamente responsable por el pago de la obligación adquirida por el beneficiario del crédito. ¿Hasta qué monto es responsable? ¿De toda la obligación en mora o solo de lo que debería descontar? ¿Se acelera el plazo de la obligación y se vuelve solidario del mismo en caso de un proceso ejecutivo?</w:t>
      </w:r>
    </w:p>
    <w:p w:rsidR="00A55BBD" w:rsidRPr="00A55BBD" w:rsidRDefault="00A55BBD" w:rsidP="00A55BBD">
      <w:pPr>
        <w:jc w:val="both"/>
        <w:rPr>
          <w:rFonts w:ascii="Arial Narrow" w:hAnsi="Arial Narrow" w:cs="Arial"/>
          <w:color w:val="000000"/>
          <w:sz w:val="22"/>
          <w:szCs w:val="22"/>
          <w:lang w:val="es-CO" w:eastAsia="es-CO"/>
        </w:rPr>
      </w:pPr>
    </w:p>
    <w:p w:rsidR="00A55BBD" w:rsidRPr="00A55BBD" w:rsidRDefault="00A55BBD" w:rsidP="00A55BBD">
      <w:pPr>
        <w:autoSpaceDE w:val="0"/>
        <w:autoSpaceDN w:val="0"/>
        <w:adjustRightInd w:val="0"/>
        <w:jc w:val="both"/>
        <w:rPr>
          <w:rFonts w:ascii="Arial Narrow" w:hAnsi="Arial Narrow" w:cs="Arial"/>
          <w:color w:val="000000"/>
          <w:sz w:val="22"/>
          <w:szCs w:val="22"/>
          <w:lang w:val="es-CO" w:eastAsia="es-CO"/>
        </w:rPr>
      </w:pPr>
      <w:r w:rsidRPr="00A55BBD">
        <w:rPr>
          <w:rFonts w:ascii="Arial Narrow" w:hAnsi="Arial Narrow" w:cs="Arial"/>
          <w:color w:val="000000"/>
          <w:sz w:val="22"/>
          <w:szCs w:val="22"/>
          <w:lang w:val="es-CO" w:eastAsia="es-CO"/>
        </w:rPr>
        <w:t xml:space="preserve">Sobre este particular es de anotar en primera instancia que el concepto de responsabilidad solidaria se encuentra definido el artículo 1568 del Código Civil en el siguiente sentido: “(…) en virtud de la convención, del testamento o de la ley </w:t>
      </w:r>
      <w:r w:rsidRPr="00A55BBD">
        <w:rPr>
          <w:rFonts w:ascii="Arial Narrow" w:hAnsi="Arial Narrow" w:cs="Arial"/>
          <w:b/>
          <w:color w:val="000000"/>
          <w:sz w:val="22"/>
          <w:szCs w:val="22"/>
          <w:lang w:val="es-CO" w:eastAsia="es-CO"/>
        </w:rPr>
        <w:t>puede exigirse</w:t>
      </w:r>
      <w:r w:rsidRPr="00A55BBD">
        <w:rPr>
          <w:rFonts w:ascii="Arial Narrow" w:hAnsi="Arial Narrow" w:cs="Arial"/>
          <w:color w:val="000000"/>
          <w:sz w:val="22"/>
          <w:szCs w:val="22"/>
          <w:lang w:val="es-CO" w:eastAsia="es-CO"/>
        </w:rPr>
        <w:t xml:space="preserve"> cada uno de los deudores o por cada uno de los acreedores </w:t>
      </w:r>
      <w:r w:rsidRPr="00A55BBD">
        <w:rPr>
          <w:rFonts w:ascii="Arial Narrow" w:hAnsi="Arial Narrow" w:cs="Arial"/>
          <w:b/>
          <w:color w:val="000000"/>
          <w:sz w:val="22"/>
          <w:szCs w:val="22"/>
          <w:lang w:val="es-CO" w:eastAsia="es-CO"/>
        </w:rPr>
        <w:t>el total de la deuda</w:t>
      </w:r>
      <w:r w:rsidRPr="00A55BBD">
        <w:rPr>
          <w:rFonts w:ascii="Arial Narrow" w:hAnsi="Arial Narrow" w:cs="Arial"/>
          <w:color w:val="000000"/>
          <w:sz w:val="22"/>
          <w:szCs w:val="22"/>
          <w:lang w:val="es-CO" w:eastAsia="es-CO"/>
        </w:rPr>
        <w:t xml:space="preserve">, y entonces la obligación es solidaria o in </w:t>
      </w:r>
      <w:proofErr w:type="spellStart"/>
      <w:r w:rsidRPr="00A55BBD">
        <w:rPr>
          <w:rFonts w:ascii="Arial Narrow" w:hAnsi="Arial Narrow" w:cs="Arial"/>
          <w:color w:val="000000"/>
          <w:sz w:val="22"/>
          <w:szCs w:val="22"/>
          <w:lang w:val="es-CO" w:eastAsia="es-CO"/>
        </w:rPr>
        <w:t>solidum</w:t>
      </w:r>
      <w:proofErr w:type="spellEnd"/>
      <w:r w:rsidRPr="00A55BBD">
        <w:rPr>
          <w:rFonts w:ascii="Arial Narrow" w:hAnsi="Arial Narrow" w:cs="Arial"/>
          <w:color w:val="000000"/>
          <w:sz w:val="22"/>
          <w:szCs w:val="22"/>
          <w:lang w:val="es-CO" w:eastAsia="es-CO"/>
        </w:rPr>
        <w:t>” (se destaca).</w:t>
      </w:r>
    </w:p>
    <w:p w:rsidR="00A55BBD" w:rsidRPr="00A55BBD" w:rsidRDefault="00A55BBD" w:rsidP="00A55BBD">
      <w:pPr>
        <w:autoSpaceDE w:val="0"/>
        <w:autoSpaceDN w:val="0"/>
        <w:adjustRightInd w:val="0"/>
        <w:jc w:val="both"/>
        <w:rPr>
          <w:rFonts w:ascii="Arial Narrow" w:hAnsi="Arial Narrow" w:cs="Arial"/>
          <w:color w:val="000000"/>
          <w:sz w:val="22"/>
          <w:szCs w:val="22"/>
          <w:lang w:val="es-CO" w:eastAsia="es-CO"/>
        </w:rPr>
      </w:pPr>
    </w:p>
    <w:p w:rsidR="00A55BBD" w:rsidRPr="00A55BBD" w:rsidRDefault="00A55BBD" w:rsidP="00A55BBD">
      <w:pPr>
        <w:autoSpaceDE w:val="0"/>
        <w:autoSpaceDN w:val="0"/>
        <w:adjustRightInd w:val="0"/>
        <w:jc w:val="both"/>
        <w:rPr>
          <w:rFonts w:ascii="Arial Narrow" w:hAnsi="Arial Narrow" w:cs="Arial"/>
          <w:color w:val="000000"/>
          <w:sz w:val="22"/>
          <w:szCs w:val="22"/>
          <w:lang w:val="es-CO" w:eastAsia="es-CO"/>
        </w:rPr>
      </w:pPr>
      <w:r w:rsidRPr="00A55BBD">
        <w:rPr>
          <w:rFonts w:ascii="Arial Narrow" w:hAnsi="Arial Narrow" w:cs="Arial"/>
          <w:color w:val="000000"/>
          <w:sz w:val="22"/>
          <w:szCs w:val="22"/>
          <w:lang w:val="es-CO" w:eastAsia="es-CO"/>
        </w:rPr>
        <w:t>De otra parte, se tiene que el parágrafo 1</w:t>
      </w:r>
      <w:r w:rsidR="0039470C">
        <w:rPr>
          <w:rFonts w:ascii="Arial Narrow" w:hAnsi="Arial Narrow" w:cs="Arial"/>
          <w:color w:val="000000"/>
          <w:sz w:val="22"/>
          <w:szCs w:val="22"/>
          <w:lang w:val="es-CO" w:eastAsia="es-CO"/>
        </w:rPr>
        <w:t>°</w:t>
      </w:r>
      <w:r w:rsidRPr="00A55BBD">
        <w:rPr>
          <w:rFonts w:ascii="Arial Narrow" w:hAnsi="Arial Narrow" w:cs="Arial"/>
          <w:color w:val="000000"/>
          <w:sz w:val="22"/>
          <w:szCs w:val="22"/>
          <w:lang w:val="es-CO" w:eastAsia="es-CO"/>
        </w:rPr>
        <w:t xml:space="preserve"> del artículo 6</w:t>
      </w:r>
      <w:r w:rsidR="0039470C">
        <w:rPr>
          <w:rFonts w:ascii="Arial Narrow" w:hAnsi="Arial Narrow" w:cs="Arial"/>
          <w:color w:val="000000"/>
          <w:sz w:val="22"/>
          <w:szCs w:val="22"/>
          <w:lang w:val="es-CO" w:eastAsia="es-CO"/>
        </w:rPr>
        <w:t>°</w:t>
      </w:r>
      <w:r w:rsidRPr="00A55BBD">
        <w:rPr>
          <w:rFonts w:ascii="Arial Narrow" w:hAnsi="Arial Narrow" w:cs="Arial"/>
          <w:color w:val="000000"/>
          <w:sz w:val="22"/>
          <w:szCs w:val="22"/>
          <w:lang w:val="es-CO" w:eastAsia="es-CO"/>
        </w:rPr>
        <w:t xml:space="preserve"> de la Ley de Libranza establece que: “Si el empleador o entidad pagadora no cumple con la obligación señalada en el presente artículo por motivos que le sean imputables, </w:t>
      </w:r>
      <w:r w:rsidRPr="00A55BBD">
        <w:rPr>
          <w:rFonts w:ascii="Arial Narrow" w:hAnsi="Arial Narrow" w:cs="Arial"/>
          <w:b/>
          <w:color w:val="000000"/>
          <w:sz w:val="22"/>
          <w:szCs w:val="22"/>
          <w:lang w:val="es-CO" w:eastAsia="es-CO"/>
        </w:rPr>
        <w:t>será solidariamente responsable por el pago de la obligación adquirida por el beneficiario del crédito</w:t>
      </w:r>
      <w:r w:rsidRPr="00A55BBD">
        <w:rPr>
          <w:rFonts w:ascii="Arial Narrow" w:hAnsi="Arial Narrow" w:cs="Arial"/>
          <w:color w:val="000000"/>
          <w:sz w:val="22"/>
          <w:szCs w:val="22"/>
          <w:lang w:val="es-CO" w:eastAsia="es-CO"/>
        </w:rPr>
        <w:t>” (se resalta).</w:t>
      </w:r>
    </w:p>
    <w:p w:rsidR="00A55BBD" w:rsidRPr="00A55BBD" w:rsidRDefault="00A55BBD" w:rsidP="00A55BBD">
      <w:pPr>
        <w:autoSpaceDE w:val="0"/>
        <w:autoSpaceDN w:val="0"/>
        <w:adjustRightInd w:val="0"/>
        <w:jc w:val="both"/>
        <w:rPr>
          <w:rFonts w:ascii="Arial Narrow" w:hAnsi="Arial Narrow" w:cs="Arial"/>
          <w:color w:val="000000"/>
          <w:sz w:val="22"/>
          <w:szCs w:val="22"/>
          <w:lang w:val="es-CO" w:eastAsia="es-CO"/>
        </w:rPr>
      </w:pPr>
    </w:p>
    <w:p w:rsidR="00A55BBD" w:rsidRPr="00A55BBD" w:rsidRDefault="00A55BBD" w:rsidP="00A55BBD">
      <w:pPr>
        <w:autoSpaceDE w:val="0"/>
        <w:autoSpaceDN w:val="0"/>
        <w:adjustRightInd w:val="0"/>
        <w:jc w:val="both"/>
        <w:rPr>
          <w:rFonts w:ascii="Arial Narrow" w:hAnsi="Arial Narrow" w:cs="Arial"/>
          <w:color w:val="000000"/>
          <w:sz w:val="22"/>
          <w:szCs w:val="22"/>
          <w:lang w:val="es-CO" w:eastAsia="es-CO"/>
        </w:rPr>
      </w:pPr>
      <w:r w:rsidRPr="00A55BBD">
        <w:rPr>
          <w:rFonts w:ascii="Arial Narrow" w:hAnsi="Arial Narrow" w:cs="Arial"/>
          <w:color w:val="000000"/>
          <w:sz w:val="22"/>
          <w:szCs w:val="22"/>
          <w:lang w:val="es-CO" w:eastAsia="es-CO"/>
        </w:rPr>
        <w:t xml:space="preserve">Ahora bien, dado el contexto de la regla fijada en la citada norma, se encuentra que la responsabilidad solidaria establecida en esta hace referencia a los valores </w:t>
      </w:r>
      <w:r w:rsidRPr="00A55BBD">
        <w:rPr>
          <w:rFonts w:ascii="Arial Narrow" w:hAnsi="Arial Narrow" w:cs="Arial"/>
          <w:b/>
          <w:color w:val="000000"/>
          <w:sz w:val="22"/>
          <w:szCs w:val="22"/>
          <w:lang w:val="es-CO" w:eastAsia="es-CO"/>
        </w:rPr>
        <w:t>dejados</w:t>
      </w:r>
      <w:r w:rsidRPr="00A55BBD">
        <w:rPr>
          <w:rFonts w:ascii="Arial Narrow" w:hAnsi="Arial Narrow" w:cs="Arial"/>
          <w:color w:val="000000"/>
          <w:sz w:val="22"/>
          <w:szCs w:val="22"/>
          <w:lang w:val="es-CO" w:eastAsia="es-CO"/>
        </w:rPr>
        <w:t xml:space="preserve"> de deducir, retener y girar por el empleador o entidad pagadora, en desatención y sin justa causa de la orden impartida por el asalariado, contratista, afiliado o pensionado, y no a emolumentos distintos a los dejados de pagarse por razones ajenas a su proceder, puesto que la consecuencia jurídica allí señalada se origina específicamente en el incumplimiento de su deber legal de descontar, retener y girar a la entidad operadora las sumas adeudadas por el titular de la respectiva obligación.</w:t>
      </w:r>
    </w:p>
    <w:p w:rsidR="00A55BBD" w:rsidRPr="00A55BBD" w:rsidRDefault="00A55BBD" w:rsidP="00A55BBD">
      <w:pPr>
        <w:autoSpaceDE w:val="0"/>
        <w:autoSpaceDN w:val="0"/>
        <w:adjustRightInd w:val="0"/>
        <w:jc w:val="both"/>
        <w:rPr>
          <w:rFonts w:ascii="Arial Narrow" w:hAnsi="Arial Narrow" w:cs="Arial"/>
          <w:color w:val="000000"/>
          <w:sz w:val="22"/>
          <w:szCs w:val="22"/>
          <w:lang w:val="es-CO" w:eastAsia="es-CO"/>
        </w:rPr>
      </w:pPr>
    </w:p>
    <w:p w:rsidR="00A55BBD" w:rsidRPr="00A55BBD" w:rsidRDefault="00A55BBD" w:rsidP="00A55BBD">
      <w:pPr>
        <w:autoSpaceDE w:val="0"/>
        <w:autoSpaceDN w:val="0"/>
        <w:adjustRightInd w:val="0"/>
        <w:jc w:val="both"/>
        <w:rPr>
          <w:rFonts w:ascii="Arial Narrow" w:hAnsi="Arial Narrow" w:cs="Arial"/>
          <w:color w:val="000000"/>
          <w:sz w:val="22"/>
          <w:szCs w:val="22"/>
          <w:lang w:val="es-CO" w:eastAsia="es-CO"/>
        </w:rPr>
      </w:pPr>
      <w:r w:rsidRPr="00A55BBD">
        <w:rPr>
          <w:rFonts w:ascii="Arial Narrow" w:hAnsi="Arial Narrow" w:cs="Arial"/>
          <w:color w:val="000000"/>
          <w:sz w:val="22"/>
          <w:szCs w:val="22"/>
          <w:lang w:val="es-CO" w:eastAsia="es-CO"/>
        </w:rPr>
        <w:t>Lo anterior guarda armonía con lo previsto en el parágrafo 2</w:t>
      </w:r>
      <w:r w:rsidR="0039470C">
        <w:rPr>
          <w:rFonts w:ascii="Arial Narrow" w:hAnsi="Arial Narrow" w:cs="Arial"/>
          <w:color w:val="000000"/>
          <w:sz w:val="22"/>
          <w:szCs w:val="22"/>
          <w:lang w:val="es-CO" w:eastAsia="es-CO"/>
        </w:rPr>
        <w:t>°</w:t>
      </w:r>
      <w:r w:rsidRPr="00A55BBD">
        <w:rPr>
          <w:rFonts w:ascii="Arial Narrow" w:hAnsi="Arial Narrow" w:cs="Arial"/>
          <w:color w:val="000000"/>
          <w:sz w:val="22"/>
          <w:szCs w:val="22"/>
          <w:lang w:val="es-CO" w:eastAsia="es-CO"/>
        </w:rPr>
        <w:t xml:space="preserve"> del artículo 6</w:t>
      </w:r>
      <w:r w:rsidR="0039470C">
        <w:rPr>
          <w:rFonts w:ascii="Arial Narrow" w:hAnsi="Arial Narrow" w:cs="Arial"/>
          <w:color w:val="000000"/>
          <w:sz w:val="22"/>
          <w:szCs w:val="22"/>
          <w:lang w:val="es-CO" w:eastAsia="es-CO"/>
        </w:rPr>
        <w:t>°</w:t>
      </w:r>
      <w:r w:rsidRPr="00A55BBD">
        <w:rPr>
          <w:rFonts w:ascii="Arial Narrow" w:hAnsi="Arial Narrow" w:cs="Arial"/>
          <w:color w:val="000000"/>
          <w:sz w:val="22"/>
          <w:szCs w:val="22"/>
          <w:lang w:val="es-CO" w:eastAsia="es-CO"/>
        </w:rPr>
        <w:t xml:space="preserve"> de la Ley de Libranza, que establece la responsabilidad del empleador o pagador frente al deudor de la obligación por los descuentos dejados de efectuar y los perjuicios causados con su omisión: “En caso de desconocerse el orden de giro estipulado en este artículo, </w:t>
      </w:r>
      <w:r w:rsidRPr="00A55BBD">
        <w:rPr>
          <w:rFonts w:ascii="Arial Narrow" w:hAnsi="Arial Narrow" w:cs="Arial"/>
          <w:b/>
          <w:color w:val="000000"/>
          <w:sz w:val="22"/>
          <w:szCs w:val="22"/>
          <w:lang w:val="es-CO" w:eastAsia="es-CO"/>
        </w:rPr>
        <w:t>el empleador o entidad pagadora será responsable por los valores dejados de descontar al asalariado, asociado, afiliado o pensionado por los perjuicios que le sean imputables por su descuido</w:t>
      </w:r>
      <w:r w:rsidRPr="00A55BBD">
        <w:rPr>
          <w:rFonts w:ascii="Arial Narrow" w:hAnsi="Arial Narrow" w:cs="Arial"/>
          <w:color w:val="000000"/>
          <w:sz w:val="22"/>
          <w:szCs w:val="22"/>
          <w:lang w:val="es-CO" w:eastAsia="es-CO"/>
        </w:rPr>
        <w:t>” (negrilla nuestra).</w:t>
      </w:r>
    </w:p>
    <w:p w:rsidR="00A55BBD" w:rsidRPr="00A55BBD" w:rsidRDefault="00A55BBD" w:rsidP="00A55BBD">
      <w:pPr>
        <w:jc w:val="both"/>
        <w:rPr>
          <w:rFonts w:ascii="Arial Narrow" w:hAnsi="Arial Narrow"/>
          <w:sz w:val="22"/>
          <w:szCs w:val="22"/>
          <w:lang w:val="es-CO"/>
        </w:rPr>
      </w:pPr>
    </w:p>
    <w:p w:rsidR="00A55BBD" w:rsidRPr="00A55BBD" w:rsidRDefault="00A55BBD" w:rsidP="00A55BBD">
      <w:pPr>
        <w:jc w:val="both"/>
        <w:rPr>
          <w:rFonts w:ascii="Arial Narrow" w:hAnsi="Arial Narrow"/>
          <w:sz w:val="22"/>
          <w:szCs w:val="22"/>
          <w:lang w:val="es-CO"/>
        </w:rPr>
      </w:pPr>
      <w:r w:rsidRPr="00A55BBD">
        <w:rPr>
          <w:rFonts w:ascii="Arial Narrow" w:hAnsi="Arial Narrow"/>
          <w:sz w:val="22"/>
          <w:szCs w:val="22"/>
          <w:lang w:val="es-CO"/>
        </w:rPr>
        <w:t>En cuanto a la inquietud atinente a si por efecto del incumplimiento de la obligación de descontar la orden de giro impartida por el titular de la misma, se acelera el plazo de la obligación, se estima que dicha circunstancia debe evaluarse en cada caso a partir de la revisión de las normas legales y las estipulaciones contractuales que regulan la aceleración del plazo de obligaciones periódicas.</w:t>
      </w:r>
    </w:p>
    <w:p w:rsidR="00A55BBD" w:rsidRPr="00A55BBD" w:rsidRDefault="00A55BBD" w:rsidP="00A55BBD">
      <w:pPr>
        <w:jc w:val="both"/>
        <w:rPr>
          <w:rFonts w:ascii="Arial Narrow" w:hAnsi="Arial Narrow"/>
          <w:sz w:val="22"/>
          <w:szCs w:val="22"/>
          <w:lang w:val="es-CO"/>
        </w:rPr>
      </w:pPr>
    </w:p>
    <w:p w:rsidR="00A55BBD" w:rsidRPr="00A55BBD" w:rsidRDefault="00A55BBD" w:rsidP="00A55BBD">
      <w:pPr>
        <w:jc w:val="both"/>
        <w:rPr>
          <w:rFonts w:ascii="Arial Narrow" w:hAnsi="Arial Narrow"/>
          <w:sz w:val="22"/>
          <w:szCs w:val="22"/>
          <w:lang w:val="es-CO"/>
        </w:rPr>
      </w:pPr>
      <w:r w:rsidRPr="00A55BBD">
        <w:rPr>
          <w:rFonts w:ascii="Arial Narrow" w:hAnsi="Arial Narrow"/>
          <w:sz w:val="22"/>
          <w:szCs w:val="22"/>
          <w:lang w:val="es-CO"/>
        </w:rPr>
        <w:t>En ese sentido es del caso recordar que el artículo 69 de la Ley 45 de 1990 dispone que: “</w:t>
      </w:r>
      <w:r w:rsidRPr="00A55BBD">
        <w:rPr>
          <w:rFonts w:ascii="Arial Narrow" w:hAnsi="Arial Narrow"/>
          <w:sz w:val="22"/>
          <w:szCs w:val="22"/>
        </w:rPr>
        <w:t>Cuando en las obligaciones mercantiles se estipule el pago mediante cuotas periódicas, la simple mora del deudor en la cancelación de las mismas no dará derecho al acreedor a exigir la devolución del crédito en su integridad, salvo pacto en contrario</w:t>
      </w:r>
      <w:r w:rsidRPr="00A55BBD">
        <w:rPr>
          <w:rFonts w:ascii="Arial Narrow" w:hAnsi="Arial Narrow"/>
          <w:sz w:val="22"/>
          <w:szCs w:val="22"/>
          <w:lang w:val="es-CO"/>
        </w:rPr>
        <w:t xml:space="preserve">”, condición que en la práctica es instrumentada en los contratos a </w:t>
      </w:r>
      <w:r w:rsidRPr="00A55BBD">
        <w:rPr>
          <w:rFonts w:ascii="Arial Narrow" w:hAnsi="Arial Narrow"/>
          <w:sz w:val="22"/>
          <w:szCs w:val="22"/>
          <w:lang w:val="es-CO"/>
        </w:rPr>
        <w:lastRenderedPageBreak/>
        <w:t xml:space="preserve">través de la incorporación de la cláusula </w:t>
      </w:r>
      <w:proofErr w:type="spellStart"/>
      <w:r w:rsidRPr="00A55BBD">
        <w:rPr>
          <w:rFonts w:ascii="Arial Narrow" w:hAnsi="Arial Narrow"/>
          <w:sz w:val="22"/>
          <w:szCs w:val="22"/>
          <w:lang w:val="es-CO"/>
        </w:rPr>
        <w:t>aceleratoria</w:t>
      </w:r>
      <w:proofErr w:type="spellEnd"/>
      <w:r w:rsidRPr="00A55BBD">
        <w:rPr>
          <w:rFonts w:ascii="Arial Narrow" w:hAnsi="Arial Narrow"/>
          <w:sz w:val="22"/>
          <w:szCs w:val="22"/>
          <w:lang w:val="es-CO"/>
        </w:rPr>
        <w:t xml:space="preserve">. Adicionalmente, en relación con los créditos de vivienda es de advertir que el artículo 19 de la Ley 546 de 1999 señala que estos: </w:t>
      </w:r>
      <w:r w:rsidRPr="00A55BBD">
        <w:rPr>
          <w:rFonts w:ascii="Arial Narrow" w:hAnsi="Arial Narrow"/>
          <w:sz w:val="22"/>
          <w:szCs w:val="22"/>
        </w:rPr>
        <w:t xml:space="preserve">“no podrán contener cláusulas </w:t>
      </w:r>
      <w:proofErr w:type="spellStart"/>
      <w:r w:rsidRPr="00A55BBD">
        <w:rPr>
          <w:rFonts w:ascii="Arial Narrow" w:hAnsi="Arial Narrow"/>
          <w:sz w:val="22"/>
          <w:szCs w:val="22"/>
        </w:rPr>
        <w:t>aceleratorias</w:t>
      </w:r>
      <w:proofErr w:type="spellEnd"/>
      <w:r w:rsidRPr="00A55BBD">
        <w:rPr>
          <w:rFonts w:ascii="Arial Narrow" w:hAnsi="Arial Narrow"/>
          <w:sz w:val="22"/>
          <w:szCs w:val="22"/>
        </w:rPr>
        <w:t xml:space="preserve"> que consideren de plazo vencido la totalidad de la obligación hasta tanto no se presente la correspondiente demanda”</w:t>
      </w:r>
      <w:r w:rsidRPr="00A55BBD">
        <w:rPr>
          <w:rFonts w:ascii="Arial Narrow" w:hAnsi="Arial Narrow"/>
          <w:sz w:val="22"/>
          <w:szCs w:val="22"/>
          <w:lang w:val="es-CO"/>
        </w:rPr>
        <w:t>, precepto cuyo alcance fue analizado por la Corte Constitucional en Sentencia T-881 de 2013</w:t>
      </w:r>
      <w:r w:rsidRPr="00A55BBD">
        <w:rPr>
          <w:rStyle w:val="Refdenotaalpie"/>
          <w:rFonts w:ascii="Arial Narrow" w:hAnsi="Arial Narrow" w:cs="Arial"/>
          <w:color w:val="000000"/>
          <w:sz w:val="22"/>
          <w:szCs w:val="22"/>
          <w:lang w:val="es-CO" w:eastAsia="es-CO"/>
        </w:rPr>
        <w:footnoteReference w:id="2"/>
      </w:r>
      <w:r w:rsidRPr="00A55BBD">
        <w:rPr>
          <w:rFonts w:ascii="Arial Narrow" w:hAnsi="Arial Narrow"/>
          <w:sz w:val="22"/>
          <w:szCs w:val="22"/>
          <w:lang w:val="es-CO"/>
        </w:rPr>
        <w:t xml:space="preserve"> mediante la cual se concedió el amparo al debido proceso al no ser solicitada judicialmente la extinción anticipada del plazo en un crédito de esta naturaleza.</w:t>
      </w:r>
    </w:p>
    <w:p w:rsidR="00A55BBD" w:rsidRPr="00A55BBD" w:rsidRDefault="00A55BBD" w:rsidP="00A55BBD">
      <w:pPr>
        <w:jc w:val="both"/>
        <w:rPr>
          <w:rFonts w:ascii="Arial Narrow" w:hAnsi="Arial Narrow"/>
          <w:sz w:val="22"/>
          <w:szCs w:val="22"/>
          <w:lang w:val="es-CO"/>
        </w:rPr>
      </w:pPr>
    </w:p>
    <w:p w:rsidR="00A55BBD" w:rsidRPr="00A55BBD" w:rsidRDefault="00A55BBD" w:rsidP="00A55BBD">
      <w:pPr>
        <w:jc w:val="both"/>
        <w:rPr>
          <w:rFonts w:ascii="Arial Narrow" w:hAnsi="Arial Narrow"/>
          <w:sz w:val="22"/>
          <w:szCs w:val="22"/>
          <w:lang w:val="es-CO"/>
        </w:rPr>
      </w:pPr>
    </w:p>
    <w:p w:rsidR="00A55BBD" w:rsidRPr="00A55BBD" w:rsidRDefault="00A55BBD" w:rsidP="00A55BBD">
      <w:pPr>
        <w:jc w:val="both"/>
        <w:rPr>
          <w:rFonts w:ascii="Arial Narrow" w:hAnsi="Arial Narrow"/>
          <w:sz w:val="22"/>
          <w:szCs w:val="22"/>
          <w:lang w:val="es-CO"/>
        </w:rPr>
      </w:pPr>
      <w:r w:rsidRPr="00A55BBD">
        <w:rPr>
          <w:rFonts w:ascii="Arial Narrow" w:hAnsi="Arial Narrow"/>
          <w:sz w:val="22"/>
          <w:szCs w:val="22"/>
          <w:lang w:val="es-CO"/>
        </w:rPr>
        <w:t>(…).»</w:t>
      </w:r>
    </w:p>
    <w:sectPr w:rsidR="00A55BBD" w:rsidRPr="00A55BBD" w:rsidSect="0039470C">
      <w:type w:val="continuous"/>
      <w:pgSz w:w="12242" w:h="15842" w:code="1"/>
      <w:pgMar w:top="2268" w:right="1701" w:bottom="1701" w:left="2268" w:header="851"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F05FA" w:rsidRDefault="005F05FA" w:rsidP="00A55BBD">
      <w:r>
        <w:separator/>
      </w:r>
    </w:p>
  </w:endnote>
  <w:endnote w:type="continuationSeparator" w:id="0">
    <w:p w:rsidR="005F05FA" w:rsidRDefault="005F05FA" w:rsidP="00A55B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F05FA" w:rsidRDefault="005F05FA" w:rsidP="00A55BBD">
      <w:r>
        <w:separator/>
      </w:r>
    </w:p>
  </w:footnote>
  <w:footnote w:type="continuationSeparator" w:id="0">
    <w:p w:rsidR="005F05FA" w:rsidRDefault="005F05FA" w:rsidP="00A55BBD">
      <w:r>
        <w:continuationSeparator/>
      </w:r>
    </w:p>
  </w:footnote>
  <w:footnote w:id="1">
    <w:p w:rsidR="00A55BBD" w:rsidRPr="0039470C" w:rsidRDefault="00A55BBD" w:rsidP="0039470C">
      <w:pPr>
        <w:pStyle w:val="Textonotapie"/>
        <w:jc w:val="both"/>
        <w:rPr>
          <w:rFonts w:ascii="Arial Narrow" w:hAnsi="Arial Narrow"/>
          <w:lang w:val="es-CO"/>
        </w:rPr>
      </w:pPr>
      <w:r w:rsidRPr="0039470C">
        <w:rPr>
          <w:rStyle w:val="Refdenotaalpie"/>
          <w:rFonts w:ascii="Arial Narrow" w:hAnsi="Arial Narrow"/>
        </w:rPr>
        <w:footnoteRef/>
      </w:r>
      <w:r w:rsidRPr="0039470C">
        <w:rPr>
          <w:rFonts w:ascii="Arial Narrow" w:hAnsi="Arial Narrow"/>
        </w:rPr>
        <w:t xml:space="preserve"> Magistrado Ponente: Luis Ernesto Vargas Silva. 3 de diciembre de 2013.</w:t>
      </w:r>
    </w:p>
  </w:footnote>
  <w:footnote w:id="2">
    <w:p w:rsidR="00A55BBD" w:rsidRPr="0039470C" w:rsidRDefault="00A55BBD" w:rsidP="0039470C">
      <w:pPr>
        <w:pStyle w:val="Textonotapie"/>
        <w:jc w:val="both"/>
        <w:rPr>
          <w:rFonts w:ascii="Arial Narrow" w:hAnsi="Arial Narrow"/>
          <w:lang w:val="es-CO"/>
        </w:rPr>
      </w:pPr>
      <w:r w:rsidRPr="0039470C">
        <w:rPr>
          <w:rStyle w:val="Refdenotaalpie"/>
          <w:rFonts w:ascii="Arial Narrow" w:hAnsi="Arial Narrow"/>
        </w:rPr>
        <w:footnoteRef/>
      </w:r>
      <w:r w:rsidRPr="0039470C">
        <w:rPr>
          <w:rFonts w:ascii="Arial Narrow" w:hAnsi="Arial Narrow"/>
        </w:rPr>
        <w:t xml:space="preserve"> Magistrado Ponente: Luis Guillermo Guerrero Pérez. 3 de diciembre de 2013.</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5BBD"/>
    <w:rsid w:val="00105C15"/>
    <w:rsid w:val="0039470C"/>
    <w:rsid w:val="003A0B33"/>
    <w:rsid w:val="005F05FA"/>
    <w:rsid w:val="007606B8"/>
    <w:rsid w:val="00813CCB"/>
    <w:rsid w:val="00A55BB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D7B305-2BA1-4E22-9C3F-3CA365D4A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5BBD"/>
    <w:pPr>
      <w:spacing w:after="0" w:line="240" w:lineRule="auto"/>
    </w:pPr>
    <w:rPr>
      <w:rFonts w:ascii="Times New Roman" w:eastAsia="Times New Roman" w:hAnsi="Times New Roman" w:cs="Times New Roman"/>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A55BBD"/>
    <w:pPr>
      <w:tabs>
        <w:tab w:val="center" w:pos="4252"/>
        <w:tab w:val="right" w:pos="8504"/>
      </w:tabs>
    </w:pPr>
  </w:style>
  <w:style w:type="character" w:customStyle="1" w:styleId="EncabezadoCar">
    <w:name w:val="Encabezado Car"/>
    <w:basedOn w:val="Fuentedeprrafopredeter"/>
    <w:link w:val="Encabezado"/>
    <w:rsid w:val="00A55BBD"/>
    <w:rPr>
      <w:rFonts w:ascii="Times New Roman" w:eastAsia="Times New Roman" w:hAnsi="Times New Roman" w:cs="Times New Roman"/>
      <w:sz w:val="20"/>
      <w:szCs w:val="20"/>
      <w:lang w:val="es-ES" w:eastAsia="es-ES"/>
    </w:rPr>
  </w:style>
  <w:style w:type="paragraph" w:styleId="Piedepgina">
    <w:name w:val="footer"/>
    <w:basedOn w:val="Normal"/>
    <w:link w:val="PiedepginaCar"/>
    <w:rsid w:val="00A55BBD"/>
    <w:pPr>
      <w:tabs>
        <w:tab w:val="center" w:pos="4252"/>
        <w:tab w:val="right" w:pos="8504"/>
      </w:tabs>
    </w:pPr>
  </w:style>
  <w:style w:type="character" w:customStyle="1" w:styleId="PiedepginaCar">
    <w:name w:val="Pie de página Car"/>
    <w:basedOn w:val="Fuentedeprrafopredeter"/>
    <w:link w:val="Piedepgina"/>
    <w:rsid w:val="00A55BBD"/>
    <w:rPr>
      <w:rFonts w:ascii="Times New Roman" w:eastAsia="Times New Roman" w:hAnsi="Times New Roman" w:cs="Times New Roman"/>
      <w:sz w:val="20"/>
      <w:szCs w:val="20"/>
      <w:lang w:val="es-ES" w:eastAsia="es-ES"/>
    </w:rPr>
  </w:style>
  <w:style w:type="paragraph" w:styleId="Textonotapie">
    <w:name w:val="footnote text"/>
    <w:basedOn w:val="Normal"/>
    <w:link w:val="TextonotapieCar"/>
    <w:uiPriority w:val="99"/>
    <w:semiHidden/>
    <w:unhideWhenUsed/>
    <w:rsid w:val="00A55BBD"/>
  </w:style>
  <w:style w:type="character" w:customStyle="1" w:styleId="TextonotapieCar">
    <w:name w:val="Texto nota pie Car"/>
    <w:basedOn w:val="Fuentedeprrafopredeter"/>
    <w:link w:val="Textonotapie"/>
    <w:uiPriority w:val="99"/>
    <w:semiHidden/>
    <w:rsid w:val="00A55BBD"/>
    <w:rPr>
      <w:rFonts w:ascii="Times New Roman" w:eastAsia="Times New Roman" w:hAnsi="Times New Roman" w:cs="Times New Roman"/>
      <w:sz w:val="20"/>
      <w:szCs w:val="20"/>
      <w:lang w:val="es-ES" w:eastAsia="es-ES"/>
    </w:rPr>
  </w:style>
  <w:style w:type="character" w:styleId="Refdenotaalpie">
    <w:name w:val="footnote reference"/>
    <w:aliases w:val="16 Point,4_G,Appel note de bas de page,BVI fnr,FC,Footnote number,Footnotes refss,Pie de Página,Ref. de nota al pie 2,Superscript 6 Point,Texto de nota al pie,Texto nota al pie,f,referencia nota al pie"/>
    <w:basedOn w:val="Fuentedeprrafopredeter"/>
    <w:uiPriority w:val="99"/>
    <w:semiHidden/>
    <w:unhideWhenUsed/>
    <w:rsid w:val="00A55BBD"/>
    <w:rPr>
      <w:vertAlign w:val="superscript"/>
    </w:rPr>
  </w:style>
  <w:style w:type="character" w:styleId="Hipervnculo">
    <w:name w:val="Hyperlink"/>
    <w:basedOn w:val="Fuentedeprrafopredeter"/>
    <w:unhideWhenUsed/>
    <w:rsid w:val="00A55BBD"/>
    <w:rPr>
      <w:color w:val="0563C1" w:themeColor="hyperlink"/>
      <w:u w:val="single"/>
    </w:rPr>
  </w:style>
  <w:style w:type="paragraph" w:styleId="Textodeglobo">
    <w:name w:val="Balloon Text"/>
    <w:basedOn w:val="Normal"/>
    <w:link w:val="TextodegloboCar"/>
    <w:uiPriority w:val="99"/>
    <w:semiHidden/>
    <w:unhideWhenUsed/>
    <w:rsid w:val="00A55BB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55BBD"/>
    <w:rPr>
      <w:rFonts w:ascii="Segoe UI" w:eastAsia="Times New Roman" w:hAnsi="Segoe UI" w:cs="Segoe UI"/>
      <w:sz w:val="18"/>
      <w:szCs w:val="18"/>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49C116-EE21-478C-983F-2690F05BA8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1150</Words>
  <Characters>6330</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
    </vt:vector>
  </TitlesOfParts>
  <Company>superfinanciera</Company>
  <LinksUpToDate>false</LinksUpToDate>
  <CharactersWithSpaces>7466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Hugo Alfonso Gonzalez Binches</dc:creator>
  <cp:keywords/>
  <dc:description/>
  <cp:lastModifiedBy>Hugo Alfonso Gonzalez Binches</cp:lastModifiedBy>
  <cp:revision>5</cp:revision>
  <cp:lastPrinted>2017-01-23T15:11:00Z</cp:lastPrinted>
  <dcterms:created xsi:type="dcterms:W3CDTF">2017-01-23T15:00:00Z</dcterms:created>
  <dcterms:modified xsi:type="dcterms:W3CDTF">2017-02-01T19:00:00Z</dcterms:modified>
</cp:coreProperties>
</file>