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A269A" w14:textId="77777777" w:rsidR="00B74FA4" w:rsidRPr="003F010A" w:rsidRDefault="00EA2094" w:rsidP="00B512A5">
      <w:pPr>
        <w:jc w:val="center"/>
        <w:rPr>
          <w:rFonts w:ascii="Bookman Old Style" w:eastAsia="Times New Roman" w:hAnsi="Bookman Old Style" w:cs="Arial"/>
          <w:b/>
          <w:sz w:val="28"/>
          <w:szCs w:val="28"/>
        </w:rPr>
      </w:pPr>
      <w:r>
        <w:rPr>
          <w:rFonts w:ascii="Bookman Old Style" w:eastAsia="Times New Roman" w:hAnsi="Bookman Old Style" w:cs="Arial"/>
          <w:b/>
          <w:sz w:val="28"/>
          <w:szCs w:val="28"/>
        </w:rPr>
        <w:t>FRANCISCO TERNERA BARRIOS</w:t>
      </w:r>
    </w:p>
    <w:p w14:paraId="47D7A980" w14:textId="77777777" w:rsidR="00B74FA4" w:rsidRPr="00494B3B" w:rsidRDefault="00B74FA4" w:rsidP="00494B3B">
      <w:pPr>
        <w:jc w:val="center"/>
        <w:outlineLvl w:val="0"/>
        <w:rPr>
          <w:rFonts w:ascii="Bookman Old Style" w:eastAsia="Times New Roman" w:hAnsi="Bookman Old Style" w:cs="Arial"/>
          <w:bCs/>
          <w:sz w:val="28"/>
          <w:szCs w:val="28"/>
        </w:rPr>
      </w:pPr>
      <w:r w:rsidRPr="00494B3B">
        <w:rPr>
          <w:rFonts w:ascii="Bookman Old Style" w:eastAsia="Times New Roman" w:hAnsi="Bookman Old Style" w:cs="Arial"/>
          <w:bCs/>
          <w:sz w:val="28"/>
          <w:szCs w:val="28"/>
        </w:rPr>
        <w:t>Magistrad</w:t>
      </w:r>
      <w:r w:rsidR="00EA2094" w:rsidRPr="00494B3B">
        <w:rPr>
          <w:rFonts w:ascii="Bookman Old Style" w:eastAsia="Times New Roman" w:hAnsi="Bookman Old Style" w:cs="Arial"/>
          <w:bCs/>
          <w:sz w:val="28"/>
          <w:szCs w:val="28"/>
        </w:rPr>
        <w:t>o</w:t>
      </w:r>
      <w:r w:rsidRPr="00494B3B">
        <w:rPr>
          <w:rFonts w:ascii="Bookman Old Style" w:eastAsia="Times New Roman" w:hAnsi="Bookman Old Style" w:cs="Arial"/>
          <w:bCs/>
          <w:sz w:val="28"/>
          <w:szCs w:val="28"/>
        </w:rPr>
        <w:t xml:space="preserve"> Ponent</w:t>
      </w:r>
      <w:r w:rsidR="00EA2094" w:rsidRPr="00494B3B">
        <w:rPr>
          <w:rFonts w:ascii="Bookman Old Style" w:eastAsia="Times New Roman" w:hAnsi="Bookman Old Style" w:cs="Arial"/>
          <w:bCs/>
          <w:sz w:val="28"/>
          <w:szCs w:val="28"/>
        </w:rPr>
        <w:t>e</w:t>
      </w:r>
    </w:p>
    <w:p w14:paraId="378E7F3F" w14:textId="77777777" w:rsidR="00B74FA4" w:rsidRDefault="00B74FA4" w:rsidP="00494B3B">
      <w:pPr>
        <w:spacing w:line="360" w:lineRule="auto"/>
        <w:jc w:val="center"/>
        <w:outlineLvl w:val="0"/>
        <w:rPr>
          <w:rFonts w:ascii="Bookman Old Style" w:eastAsia="Times New Roman" w:hAnsi="Bookman Old Style" w:cs="Arial"/>
          <w:b/>
          <w:sz w:val="28"/>
          <w:szCs w:val="28"/>
        </w:rPr>
      </w:pPr>
    </w:p>
    <w:p w14:paraId="70B4755E" w14:textId="77777777" w:rsidR="00CA6ABA" w:rsidRPr="003F010A" w:rsidRDefault="00CA6ABA" w:rsidP="00494B3B">
      <w:pPr>
        <w:spacing w:line="360" w:lineRule="auto"/>
        <w:jc w:val="center"/>
        <w:outlineLvl w:val="0"/>
        <w:rPr>
          <w:rFonts w:ascii="Bookman Old Style" w:eastAsia="Times New Roman" w:hAnsi="Bookman Old Style" w:cs="Arial"/>
          <w:b/>
          <w:sz w:val="28"/>
          <w:szCs w:val="28"/>
        </w:rPr>
      </w:pPr>
    </w:p>
    <w:p w14:paraId="56077D0D" w14:textId="77777777" w:rsidR="00B74FA4" w:rsidRPr="003F010A" w:rsidRDefault="008B2183" w:rsidP="00FD05A0">
      <w:pPr>
        <w:spacing w:line="360" w:lineRule="auto"/>
        <w:jc w:val="center"/>
        <w:rPr>
          <w:rFonts w:ascii="Bookman Old Style" w:eastAsia="Times New Roman" w:hAnsi="Bookman Old Style" w:cs="Arial"/>
          <w:b/>
          <w:sz w:val="28"/>
          <w:szCs w:val="28"/>
        </w:rPr>
      </w:pPr>
      <w:r w:rsidRPr="008B2183">
        <w:rPr>
          <w:rFonts w:ascii="Bookman Old Style" w:eastAsia="Times New Roman" w:hAnsi="Bookman Old Style" w:cs="Arial"/>
          <w:b/>
          <w:sz w:val="28"/>
          <w:szCs w:val="28"/>
        </w:rPr>
        <w:t>SC4528-2020</w:t>
      </w:r>
    </w:p>
    <w:p w14:paraId="785536C2" w14:textId="77777777" w:rsidR="00B74FA4" w:rsidRPr="003F010A" w:rsidRDefault="00B74FA4" w:rsidP="00494B3B">
      <w:pPr>
        <w:spacing w:line="276" w:lineRule="auto"/>
        <w:jc w:val="center"/>
        <w:outlineLvl w:val="0"/>
        <w:rPr>
          <w:rFonts w:ascii="Bookman Old Style" w:eastAsia="Times New Roman" w:hAnsi="Bookman Old Style" w:cs="Arial"/>
          <w:sz w:val="24"/>
          <w:szCs w:val="24"/>
        </w:rPr>
      </w:pPr>
      <w:r w:rsidRPr="003F010A">
        <w:rPr>
          <w:rFonts w:ascii="Bookman Old Style" w:eastAsia="Times New Roman" w:hAnsi="Bookman Old Style" w:cs="Arial"/>
          <w:b/>
          <w:sz w:val="28"/>
          <w:szCs w:val="28"/>
        </w:rPr>
        <w:t>Radicación n°</w:t>
      </w:r>
      <w:r w:rsidR="00494B3B">
        <w:rPr>
          <w:rFonts w:ascii="Bookman Old Style" w:eastAsia="Times New Roman" w:hAnsi="Bookman Old Style" w:cs="Arial"/>
          <w:b/>
          <w:sz w:val="28"/>
          <w:szCs w:val="28"/>
        </w:rPr>
        <w:t>.</w:t>
      </w:r>
      <w:r w:rsidRPr="003F010A">
        <w:rPr>
          <w:rFonts w:ascii="Bookman Old Style" w:eastAsia="Times New Roman" w:hAnsi="Bookman Old Style" w:cs="Arial"/>
          <w:b/>
          <w:sz w:val="28"/>
          <w:szCs w:val="28"/>
        </w:rPr>
        <w:t xml:space="preserve"> </w:t>
      </w:r>
      <w:r>
        <w:rPr>
          <w:rFonts w:ascii="Bookman Old Style" w:eastAsia="Times New Roman" w:hAnsi="Bookman Old Style" w:cs="Arial"/>
          <w:b/>
          <w:sz w:val="28"/>
          <w:szCs w:val="28"/>
        </w:rPr>
        <w:t>68001</w:t>
      </w:r>
      <w:r w:rsidR="00494B3B">
        <w:rPr>
          <w:rFonts w:ascii="Bookman Old Style" w:eastAsia="Times New Roman" w:hAnsi="Bookman Old Style" w:cs="Arial"/>
          <w:b/>
          <w:sz w:val="28"/>
          <w:szCs w:val="28"/>
        </w:rPr>
        <w:t>-</w:t>
      </w:r>
      <w:r w:rsidRPr="003F010A">
        <w:rPr>
          <w:rFonts w:ascii="Bookman Old Style" w:eastAsia="Times New Roman" w:hAnsi="Bookman Old Style" w:cs="Arial"/>
          <w:b/>
          <w:sz w:val="28"/>
          <w:szCs w:val="28"/>
        </w:rPr>
        <w:t>31</w:t>
      </w:r>
      <w:r w:rsidR="00494B3B">
        <w:rPr>
          <w:rFonts w:ascii="Bookman Old Style" w:eastAsia="Times New Roman" w:hAnsi="Bookman Old Style" w:cs="Arial"/>
          <w:b/>
          <w:sz w:val="28"/>
          <w:szCs w:val="28"/>
        </w:rPr>
        <w:t>-</w:t>
      </w:r>
      <w:r>
        <w:rPr>
          <w:rFonts w:ascii="Bookman Old Style" w:eastAsia="Times New Roman" w:hAnsi="Bookman Old Style" w:cs="Arial"/>
          <w:b/>
          <w:sz w:val="28"/>
          <w:szCs w:val="28"/>
        </w:rPr>
        <w:t>1</w:t>
      </w:r>
      <w:r w:rsidRPr="003F010A">
        <w:rPr>
          <w:rFonts w:ascii="Bookman Old Style" w:eastAsia="Times New Roman" w:hAnsi="Bookman Old Style" w:cs="Arial"/>
          <w:b/>
          <w:sz w:val="28"/>
          <w:szCs w:val="28"/>
        </w:rPr>
        <w:t>0</w:t>
      </w:r>
      <w:r w:rsidR="00494B3B">
        <w:rPr>
          <w:rFonts w:ascii="Bookman Old Style" w:eastAsia="Times New Roman" w:hAnsi="Bookman Old Style" w:cs="Arial"/>
          <w:b/>
          <w:sz w:val="28"/>
          <w:szCs w:val="28"/>
        </w:rPr>
        <w:t>-</w:t>
      </w:r>
      <w:r w:rsidRPr="003F010A">
        <w:rPr>
          <w:rFonts w:ascii="Bookman Old Style" w:eastAsia="Times New Roman" w:hAnsi="Bookman Old Style" w:cs="Arial"/>
          <w:b/>
          <w:sz w:val="28"/>
          <w:szCs w:val="28"/>
        </w:rPr>
        <w:t>001</w:t>
      </w:r>
      <w:r w:rsidR="00494B3B">
        <w:rPr>
          <w:rFonts w:ascii="Bookman Old Style" w:eastAsia="Times New Roman" w:hAnsi="Bookman Old Style" w:cs="Arial"/>
          <w:b/>
          <w:sz w:val="28"/>
          <w:szCs w:val="28"/>
        </w:rPr>
        <w:t>-</w:t>
      </w:r>
      <w:r w:rsidRPr="003F010A">
        <w:rPr>
          <w:rFonts w:ascii="Bookman Old Style" w:eastAsia="Times New Roman" w:hAnsi="Bookman Old Style" w:cs="Arial"/>
          <w:b/>
          <w:sz w:val="28"/>
          <w:szCs w:val="28"/>
        </w:rPr>
        <w:t>20</w:t>
      </w:r>
      <w:r>
        <w:rPr>
          <w:rFonts w:ascii="Bookman Old Style" w:eastAsia="Times New Roman" w:hAnsi="Bookman Old Style" w:cs="Arial"/>
          <w:b/>
          <w:sz w:val="28"/>
          <w:szCs w:val="28"/>
        </w:rPr>
        <w:t>06</w:t>
      </w:r>
      <w:r w:rsidR="00494B3B">
        <w:rPr>
          <w:rFonts w:ascii="Bookman Old Style" w:eastAsia="Times New Roman" w:hAnsi="Bookman Old Style" w:cs="Arial"/>
          <w:b/>
          <w:sz w:val="28"/>
          <w:szCs w:val="28"/>
        </w:rPr>
        <w:t>-</w:t>
      </w:r>
      <w:r w:rsidRPr="003F010A">
        <w:rPr>
          <w:rFonts w:ascii="Bookman Old Style" w:eastAsia="Times New Roman" w:hAnsi="Bookman Old Style" w:cs="Arial"/>
          <w:b/>
          <w:sz w:val="28"/>
          <w:szCs w:val="28"/>
        </w:rPr>
        <w:t>00</w:t>
      </w:r>
      <w:r>
        <w:rPr>
          <w:rFonts w:ascii="Bookman Old Style" w:eastAsia="Times New Roman" w:hAnsi="Bookman Old Style" w:cs="Arial"/>
          <w:b/>
          <w:sz w:val="28"/>
          <w:szCs w:val="28"/>
        </w:rPr>
        <w:t>322</w:t>
      </w:r>
      <w:r w:rsidR="00494B3B">
        <w:rPr>
          <w:rFonts w:ascii="Bookman Old Style" w:eastAsia="Times New Roman" w:hAnsi="Bookman Old Style" w:cs="Arial"/>
          <w:b/>
          <w:sz w:val="28"/>
          <w:szCs w:val="28"/>
        </w:rPr>
        <w:t>-</w:t>
      </w:r>
      <w:r w:rsidRPr="003F010A">
        <w:rPr>
          <w:rFonts w:ascii="Bookman Old Style" w:eastAsia="Times New Roman" w:hAnsi="Bookman Old Style" w:cs="Arial"/>
          <w:b/>
          <w:sz w:val="28"/>
          <w:szCs w:val="28"/>
        </w:rPr>
        <w:t>01</w:t>
      </w:r>
    </w:p>
    <w:p w14:paraId="7822A4E9" w14:textId="77777777" w:rsidR="005656C1" w:rsidRPr="00FD05A0" w:rsidRDefault="005656C1" w:rsidP="00FD05A0">
      <w:pPr>
        <w:overflowPunct w:val="0"/>
        <w:autoSpaceDE w:val="0"/>
        <w:autoSpaceDN w:val="0"/>
        <w:adjustRightInd w:val="0"/>
        <w:spacing w:line="360" w:lineRule="auto"/>
        <w:jc w:val="center"/>
        <w:rPr>
          <w:rFonts w:ascii="Bookman Old Style" w:hAnsi="Bookman Old Style"/>
          <w:color w:val="000000"/>
          <w:sz w:val="24"/>
          <w:szCs w:val="24"/>
        </w:rPr>
      </w:pPr>
      <w:r w:rsidRPr="00FD05A0">
        <w:rPr>
          <w:rFonts w:ascii="Bookman Old Style" w:hAnsi="Bookman Old Style"/>
          <w:color w:val="000000"/>
          <w:sz w:val="24"/>
          <w:szCs w:val="24"/>
        </w:rPr>
        <w:t>(Aprobado en sesión virtual de veintitrés</w:t>
      </w:r>
      <w:r w:rsidR="00FD05A0" w:rsidRPr="00FD05A0">
        <w:rPr>
          <w:rFonts w:ascii="Bookman Old Style" w:hAnsi="Bookman Old Style"/>
          <w:color w:val="000000"/>
          <w:sz w:val="24"/>
          <w:szCs w:val="24"/>
        </w:rPr>
        <w:t xml:space="preserve"> de julio de dos mil veinte)</w:t>
      </w:r>
    </w:p>
    <w:p w14:paraId="641D8956" w14:textId="77777777" w:rsidR="005656C1" w:rsidRDefault="005656C1" w:rsidP="005656C1">
      <w:pPr>
        <w:spacing w:line="360" w:lineRule="auto"/>
        <w:ind w:firstLine="708"/>
        <w:jc w:val="both"/>
        <w:rPr>
          <w:rFonts w:ascii="Bookman Old Style" w:hAnsi="Bookman Old Style"/>
          <w:bCs/>
          <w:szCs w:val="24"/>
        </w:rPr>
      </w:pPr>
    </w:p>
    <w:p w14:paraId="5C2A8A79" w14:textId="77777777" w:rsidR="005656C1" w:rsidRDefault="005656C1" w:rsidP="005656C1">
      <w:pPr>
        <w:spacing w:line="360" w:lineRule="auto"/>
        <w:ind w:firstLine="708"/>
        <w:jc w:val="both"/>
        <w:rPr>
          <w:rFonts w:ascii="Bookman Old Style" w:hAnsi="Bookman Old Style"/>
          <w:bCs/>
          <w:szCs w:val="24"/>
        </w:rPr>
      </w:pPr>
    </w:p>
    <w:p w14:paraId="670F22D0" w14:textId="77777777" w:rsidR="005656C1" w:rsidRPr="00664E8E" w:rsidRDefault="005656C1" w:rsidP="005656C1">
      <w:pPr>
        <w:spacing w:line="360" w:lineRule="auto"/>
        <w:ind w:firstLine="708"/>
        <w:jc w:val="both"/>
        <w:rPr>
          <w:rFonts w:ascii="Bookman Old Style" w:hAnsi="Bookman Old Style"/>
          <w:bCs/>
          <w:sz w:val="28"/>
          <w:szCs w:val="28"/>
        </w:rPr>
      </w:pPr>
      <w:r w:rsidRPr="00664E8E">
        <w:rPr>
          <w:rFonts w:ascii="Bookman Old Style" w:hAnsi="Bookman Old Style"/>
          <w:bCs/>
          <w:sz w:val="28"/>
          <w:szCs w:val="28"/>
        </w:rPr>
        <w:t>Bogotá D. C.</w:t>
      </w:r>
      <w:r w:rsidR="00FD05A0">
        <w:rPr>
          <w:rFonts w:ascii="Bookman Old Style" w:hAnsi="Bookman Old Style"/>
          <w:bCs/>
          <w:sz w:val="28"/>
          <w:szCs w:val="28"/>
        </w:rPr>
        <w:t>,</w:t>
      </w:r>
      <w:r w:rsidR="008B2183">
        <w:rPr>
          <w:rFonts w:ascii="Bookman Old Style" w:hAnsi="Bookman Old Style"/>
          <w:bCs/>
          <w:sz w:val="28"/>
          <w:szCs w:val="28"/>
        </w:rPr>
        <w:t xml:space="preserve"> veintitrés</w:t>
      </w:r>
      <w:r w:rsidR="00FD05A0">
        <w:rPr>
          <w:rFonts w:ascii="Bookman Old Style" w:hAnsi="Bookman Old Style"/>
          <w:bCs/>
          <w:sz w:val="28"/>
          <w:szCs w:val="28"/>
        </w:rPr>
        <w:t xml:space="preserve"> (</w:t>
      </w:r>
      <w:r w:rsidR="008B2183">
        <w:rPr>
          <w:rFonts w:ascii="Bookman Old Style" w:hAnsi="Bookman Old Style"/>
          <w:bCs/>
          <w:sz w:val="28"/>
          <w:szCs w:val="28"/>
        </w:rPr>
        <w:t>23</w:t>
      </w:r>
      <w:r w:rsidR="00FD05A0">
        <w:rPr>
          <w:rFonts w:ascii="Bookman Old Style" w:hAnsi="Bookman Old Style"/>
          <w:bCs/>
          <w:sz w:val="28"/>
          <w:szCs w:val="28"/>
        </w:rPr>
        <w:t xml:space="preserve">) de </w:t>
      </w:r>
      <w:r w:rsidR="008B2183">
        <w:rPr>
          <w:rFonts w:ascii="Bookman Old Style" w:hAnsi="Bookman Old Style"/>
          <w:bCs/>
          <w:sz w:val="28"/>
          <w:szCs w:val="28"/>
        </w:rPr>
        <w:t xml:space="preserve">noviembre </w:t>
      </w:r>
      <w:r w:rsidR="00FD05A0">
        <w:rPr>
          <w:rFonts w:ascii="Bookman Old Style" w:hAnsi="Bookman Old Style"/>
          <w:bCs/>
          <w:sz w:val="28"/>
          <w:szCs w:val="28"/>
        </w:rPr>
        <w:t>de dos mil veinte (2020).</w:t>
      </w:r>
    </w:p>
    <w:p w14:paraId="4AB7841E" w14:textId="77777777" w:rsidR="00B74FA4" w:rsidRPr="003F010A" w:rsidRDefault="00B74FA4" w:rsidP="00B74FA4">
      <w:pPr>
        <w:spacing w:line="360" w:lineRule="auto"/>
        <w:jc w:val="both"/>
        <w:rPr>
          <w:rFonts w:ascii="Bookman Old Style" w:eastAsia="Times New Roman" w:hAnsi="Bookman Old Style" w:cs="Arial"/>
          <w:sz w:val="28"/>
          <w:szCs w:val="28"/>
        </w:rPr>
      </w:pPr>
    </w:p>
    <w:p w14:paraId="7D5444B7" w14:textId="77777777" w:rsidR="00B74FA4" w:rsidRPr="003F010A" w:rsidRDefault="00B74FA4" w:rsidP="00B74FA4">
      <w:pPr>
        <w:spacing w:line="360" w:lineRule="auto"/>
        <w:ind w:firstLine="708"/>
        <w:jc w:val="both"/>
        <w:rPr>
          <w:rFonts w:ascii="Bookman Old Style" w:eastAsia="Times New Roman" w:hAnsi="Bookman Old Style" w:cs="Arial"/>
          <w:sz w:val="28"/>
          <w:szCs w:val="28"/>
        </w:rPr>
      </w:pPr>
      <w:r w:rsidRPr="003F010A">
        <w:rPr>
          <w:rFonts w:ascii="Bookman Old Style" w:eastAsia="Times New Roman" w:hAnsi="Bookman Old Style" w:cs="Arial"/>
          <w:sz w:val="28"/>
          <w:szCs w:val="28"/>
        </w:rPr>
        <w:t xml:space="preserve">Procede la Corte a resolver el recurso de casación presentado por </w:t>
      </w:r>
      <w:r w:rsidR="0098217F">
        <w:rPr>
          <w:rFonts w:ascii="Bookman Old Style" w:eastAsia="Times New Roman" w:hAnsi="Bookman Old Style" w:cs="Arial"/>
          <w:sz w:val="28"/>
          <w:szCs w:val="28"/>
        </w:rPr>
        <w:t>la parte actora</w:t>
      </w:r>
      <w:r w:rsidRPr="003F010A">
        <w:rPr>
          <w:rFonts w:ascii="Bookman Old Style" w:eastAsia="Times New Roman" w:hAnsi="Bookman Old Style" w:cs="Arial"/>
          <w:sz w:val="28"/>
          <w:szCs w:val="28"/>
        </w:rPr>
        <w:t xml:space="preserve"> frente a la sentencia </w:t>
      </w:r>
      <w:r w:rsidR="0098217F">
        <w:rPr>
          <w:rFonts w:ascii="Bookman Old Style" w:eastAsia="Times New Roman" w:hAnsi="Bookman Old Style" w:cs="Arial"/>
          <w:sz w:val="28"/>
          <w:szCs w:val="28"/>
        </w:rPr>
        <w:t xml:space="preserve">proferida </w:t>
      </w:r>
      <w:r w:rsidRPr="003F010A">
        <w:rPr>
          <w:rFonts w:ascii="Bookman Old Style" w:eastAsia="Times New Roman" w:hAnsi="Bookman Old Style" w:cs="Arial"/>
          <w:sz w:val="28"/>
          <w:szCs w:val="28"/>
        </w:rPr>
        <w:t xml:space="preserve">el </w:t>
      </w:r>
      <w:r w:rsidR="0098217F">
        <w:rPr>
          <w:rFonts w:ascii="Bookman Old Style" w:eastAsia="Times New Roman" w:hAnsi="Bookman Old Style" w:cs="Arial"/>
          <w:sz w:val="28"/>
          <w:szCs w:val="28"/>
        </w:rPr>
        <w:t>28</w:t>
      </w:r>
      <w:r w:rsidRPr="003F010A">
        <w:rPr>
          <w:rFonts w:ascii="Bookman Old Style" w:eastAsia="Times New Roman" w:hAnsi="Bookman Old Style" w:cs="Arial"/>
          <w:sz w:val="28"/>
          <w:szCs w:val="28"/>
        </w:rPr>
        <w:t xml:space="preserve"> de </w:t>
      </w:r>
      <w:r w:rsidR="0098217F">
        <w:rPr>
          <w:rFonts w:ascii="Bookman Old Style" w:eastAsia="Times New Roman" w:hAnsi="Bookman Old Style" w:cs="Arial"/>
          <w:sz w:val="28"/>
          <w:szCs w:val="28"/>
        </w:rPr>
        <w:t>mayo</w:t>
      </w:r>
      <w:r w:rsidRPr="003F010A">
        <w:rPr>
          <w:rFonts w:ascii="Bookman Old Style" w:eastAsia="Times New Roman" w:hAnsi="Bookman Old Style" w:cs="Arial"/>
          <w:sz w:val="28"/>
          <w:szCs w:val="28"/>
        </w:rPr>
        <w:t xml:space="preserve"> de 201</w:t>
      </w:r>
      <w:r w:rsidR="0098217F">
        <w:rPr>
          <w:rFonts w:ascii="Bookman Old Style" w:eastAsia="Times New Roman" w:hAnsi="Bookman Old Style" w:cs="Arial"/>
          <w:sz w:val="28"/>
          <w:szCs w:val="28"/>
        </w:rPr>
        <w:t>3</w:t>
      </w:r>
      <w:r w:rsidRPr="003F010A">
        <w:rPr>
          <w:rFonts w:ascii="Bookman Old Style" w:eastAsia="Times New Roman" w:hAnsi="Bookman Old Style" w:cs="Arial"/>
          <w:sz w:val="28"/>
          <w:szCs w:val="28"/>
        </w:rPr>
        <w:t xml:space="preserve">, </w:t>
      </w:r>
      <w:r w:rsidR="0098217F">
        <w:rPr>
          <w:rFonts w:ascii="Bookman Old Style" w:eastAsia="Times New Roman" w:hAnsi="Bookman Old Style" w:cs="Arial"/>
          <w:sz w:val="28"/>
          <w:szCs w:val="28"/>
        </w:rPr>
        <w:t>por</w:t>
      </w:r>
      <w:r w:rsidRPr="003F010A">
        <w:rPr>
          <w:rFonts w:ascii="Bookman Old Style" w:eastAsia="Times New Roman" w:hAnsi="Bookman Old Style" w:cs="Arial"/>
          <w:sz w:val="28"/>
          <w:szCs w:val="28"/>
        </w:rPr>
        <w:t xml:space="preserve"> la Sala Civil </w:t>
      </w:r>
      <w:r w:rsidR="0098217F">
        <w:rPr>
          <w:rFonts w:ascii="Bookman Old Style" w:eastAsia="Times New Roman" w:hAnsi="Bookman Old Style" w:cs="Arial"/>
          <w:sz w:val="28"/>
          <w:szCs w:val="28"/>
        </w:rPr>
        <w:t xml:space="preserve">Familia </w:t>
      </w:r>
      <w:r w:rsidRPr="003F010A">
        <w:rPr>
          <w:rFonts w:ascii="Bookman Old Style" w:eastAsia="Times New Roman" w:hAnsi="Bookman Old Style" w:cs="Arial"/>
          <w:sz w:val="28"/>
          <w:szCs w:val="28"/>
        </w:rPr>
        <w:t xml:space="preserve">del Tribunal Superior del Distrito Judicial de </w:t>
      </w:r>
      <w:r w:rsidR="0098217F">
        <w:rPr>
          <w:rFonts w:ascii="Bookman Old Style" w:eastAsia="Times New Roman" w:hAnsi="Bookman Old Style" w:cs="Arial"/>
          <w:sz w:val="28"/>
          <w:szCs w:val="28"/>
        </w:rPr>
        <w:t>Bucaramanga</w:t>
      </w:r>
      <w:r w:rsidRPr="003F010A">
        <w:rPr>
          <w:rFonts w:ascii="Bookman Old Style" w:eastAsia="Times New Roman" w:hAnsi="Bookman Old Style" w:cs="Arial"/>
          <w:sz w:val="28"/>
          <w:szCs w:val="28"/>
        </w:rPr>
        <w:t xml:space="preserve">, dentro del proceso </w:t>
      </w:r>
      <w:r w:rsidR="0098217F">
        <w:rPr>
          <w:rFonts w:ascii="Bookman Old Style" w:eastAsia="Times New Roman" w:hAnsi="Bookman Old Style" w:cs="Arial"/>
          <w:sz w:val="28"/>
          <w:szCs w:val="28"/>
        </w:rPr>
        <w:t xml:space="preserve">ordinario de inoponibilidad de escritura pública seguido por el recurrente </w:t>
      </w:r>
      <w:r w:rsidR="0098217F" w:rsidRPr="00BE727F">
        <w:rPr>
          <w:rFonts w:ascii="Bookman Old Style" w:eastAsia="Times New Roman" w:hAnsi="Bookman Old Style" w:cs="Arial"/>
          <w:b/>
          <w:sz w:val="28"/>
          <w:szCs w:val="28"/>
        </w:rPr>
        <w:t>Luís Álvaro Gómez Meza</w:t>
      </w:r>
      <w:r w:rsidR="0098217F">
        <w:rPr>
          <w:rFonts w:ascii="Bookman Old Style" w:eastAsia="Times New Roman" w:hAnsi="Bookman Old Style" w:cs="Arial"/>
          <w:sz w:val="28"/>
          <w:szCs w:val="28"/>
        </w:rPr>
        <w:t xml:space="preserve"> contra </w:t>
      </w:r>
      <w:r w:rsidR="0098217F" w:rsidRPr="00BE727F">
        <w:rPr>
          <w:rFonts w:ascii="Bookman Old Style" w:eastAsia="Times New Roman" w:hAnsi="Bookman Old Style" w:cs="Arial"/>
          <w:b/>
          <w:sz w:val="28"/>
          <w:szCs w:val="28"/>
        </w:rPr>
        <w:t xml:space="preserve">Mary Hernández </w:t>
      </w:r>
      <w:r w:rsidR="000B2EEB" w:rsidRPr="00BE727F">
        <w:rPr>
          <w:rFonts w:ascii="Bookman Old Style" w:eastAsia="Times New Roman" w:hAnsi="Bookman Old Style" w:cs="Arial"/>
          <w:b/>
          <w:sz w:val="28"/>
          <w:szCs w:val="28"/>
        </w:rPr>
        <w:t>d</w:t>
      </w:r>
      <w:r w:rsidR="0098217F" w:rsidRPr="00BE727F">
        <w:rPr>
          <w:rFonts w:ascii="Bookman Old Style" w:eastAsia="Times New Roman" w:hAnsi="Bookman Old Style" w:cs="Arial"/>
          <w:b/>
          <w:sz w:val="28"/>
          <w:szCs w:val="28"/>
        </w:rPr>
        <w:t>e Gómez</w:t>
      </w:r>
      <w:r w:rsidR="0098217F">
        <w:rPr>
          <w:rFonts w:ascii="Bookman Old Style" w:eastAsia="Times New Roman" w:hAnsi="Bookman Old Style" w:cs="Arial"/>
          <w:sz w:val="28"/>
          <w:szCs w:val="28"/>
        </w:rPr>
        <w:t>, en el cual se integró el contradictorio con los herederos de</w:t>
      </w:r>
      <w:r w:rsidR="00BF0FFE">
        <w:rPr>
          <w:rFonts w:ascii="Bookman Old Style" w:eastAsia="Times New Roman" w:hAnsi="Bookman Old Style" w:cs="Arial"/>
          <w:sz w:val="28"/>
          <w:szCs w:val="28"/>
        </w:rPr>
        <w:t>l</w:t>
      </w:r>
      <w:r w:rsidR="00F70E3B">
        <w:rPr>
          <w:rFonts w:ascii="Bookman Old Style" w:eastAsia="Times New Roman" w:hAnsi="Bookman Old Style" w:cs="Arial"/>
          <w:sz w:val="28"/>
          <w:szCs w:val="28"/>
        </w:rPr>
        <w:t xml:space="preserve"> fallecido Álvaro Gómez Prada, señores Carlos Alberto, José Fernando, Clara Elena</w:t>
      </w:r>
      <w:r w:rsidR="00625CBF">
        <w:rPr>
          <w:rFonts w:ascii="Bookman Old Style" w:eastAsia="Times New Roman" w:hAnsi="Bookman Old Style" w:cs="Arial"/>
          <w:sz w:val="28"/>
          <w:szCs w:val="28"/>
        </w:rPr>
        <w:t xml:space="preserve">, </w:t>
      </w:r>
      <w:r w:rsidR="00F70E3B">
        <w:rPr>
          <w:rFonts w:ascii="Bookman Old Style" w:eastAsia="Times New Roman" w:hAnsi="Bookman Old Style" w:cs="Arial"/>
          <w:sz w:val="28"/>
          <w:szCs w:val="28"/>
        </w:rPr>
        <w:t xml:space="preserve"> Álvaro Omar Gómez Hernández y Diana María Gómez</w:t>
      </w:r>
      <w:r>
        <w:rPr>
          <w:rFonts w:ascii="Bookman Old Style" w:eastAsia="Times New Roman" w:hAnsi="Bookman Old Style" w:cs="Arial"/>
          <w:sz w:val="28"/>
          <w:szCs w:val="28"/>
        </w:rPr>
        <w:t xml:space="preserve">.   </w:t>
      </w:r>
    </w:p>
    <w:p w14:paraId="24DD2E2C" w14:textId="77777777" w:rsidR="00CA6ABA" w:rsidRPr="003F010A" w:rsidRDefault="00CA6ABA" w:rsidP="00B512A5">
      <w:pPr>
        <w:spacing w:line="360" w:lineRule="auto"/>
        <w:jc w:val="both"/>
        <w:rPr>
          <w:rFonts w:ascii="Bookman Old Style" w:eastAsia="Times New Roman" w:hAnsi="Bookman Old Style" w:cs="Arial"/>
          <w:sz w:val="28"/>
          <w:szCs w:val="28"/>
        </w:rPr>
      </w:pPr>
    </w:p>
    <w:p w14:paraId="5441140B" w14:textId="77777777" w:rsidR="00B74FA4" w:rsidRDefault="00B74FA4" w:rsidP="001060B7">
      <w:pPr>
        <w:keepNext/>
        <w:spacing w:line="360" w:lineRule="auto"/>
        <w:jc w:val="center"/>
        <w:outlineLvl w:val="3"/>
        <w:rPr>
          <w:rFonts w:ascii="Bookman Old Style" w:eastAsia="Times New Roman" w:hAnsi="Bookman Old Style" w:cs="Arial"/>
          <w:b/>
          <w:sz w:val="28"/>
          <w:szCs w:val="28"/>
        </w:rPr>
      </w:pPr>
      <w:r w:rsidRPr="003F010A">
        <w:rPr>
          <w:rFonts w:ascii="Bookman Old Style" w:eastAsia="Times New Roman" w:hAnsi="Bookman Old Style" w:cs="Arial"/>
          <w:b/>
          <w:sz w:val="28"/>
          <w:szCs w:val="28"/>
        </w:rPr>
        <w:t>ANTECEDENTES</w:t>
      </w:r>
    </w:p>
    <w:p w14:paraId="5FAABD77" w14:textId="77777777" w:rsidR="001060B7" w:rsidRPr="001060B7" w:rsidRDefault="001060B7" w:rsidP="001060B7">
      <w:pPr>
        <w:keepNext/>
        <w:spacing w:line="360" w:lineRule="auto"/>
        <w:jc w:val="center"/>
        <w:outlineLvl w:val="3"/>
        <w:rPr>
          <w:rFonts w:ascii="Bookman Old Style" w:eastAsia="Times New Roman" w:hAnsi="Bookman Old Style" w:cs="Arial"/>
          <w:b/>
          <w:sz w:val="28"/>
          <w:szCs w:val="28"/>
        </w:rPr>
      </w:pPr>
    </w:p>
    <w:p w14:paraId="34336568" w14:textId="77777777" w:rsidR="00CA6ABA" w:rsidRPr="001060B7" w:rsidRDefault="00B74FA4" w:rsidP="001060B7">
      <w:pPr>
        <w:numPr>
          <w:ilvl w:val="0"/>
          <w:numId w:val="6"/>
        </w:numPr>
        <w:spacing w:line="360" w:lineRule="auto"/>
        <w:ind w:left="0" w:firstLine="708"/>
        <w:jc w:val="both"/>
        <w:rPr>
          <w:rFonts w:ascii="Bookman Old Style" w:eastAsia="Times New Roman" w:hAnsi="Bookman Old Style" w:cs="Arial"/>
          <w:sz w:val="28"/>
          <w:szCs w:val="28"/>
        </w:rPr>
      </w:pPr>
      <w:r w:rsidRPr="003F010A">
        <w:rPr>
          <w:rFonts w:ascii="Bookman Old Style" w:eastAsia="Times New Roman" w:hAnsi="Bookman Old Style" w:cs="Arial"/>
          <w:sz w:val="28"/>
          <w:szCs w:val="28"/>
        </w:rPr>
        <w:t xml:space="preserve">En la demanda formulada, </w:t>
      </w:r>
      <w:r w:rsidR="00164E76">
        <w:rPr>
          <w:rFonts w:ascii="Bookman Old Style" w:eastAsia="Times New Roman" w:hAnsi="Bookman Old Style" w:cs="Arial"/>
          <w:sz w:val="28"/>
          <w:szCs w:val="28"/>
        </w:rPr>
        <w:t>el</w:t>
      </w:r>
      <w:r w:rsidRPr="003F010A">
        <w:rPr>
          <w:rFonts w:ascii="Bookman Old Style" w:eastAsia="Times New Roman" w:hAnsi="Bookman Old Style" w:cs="Arial"/>
          <w:sz w:val="28"/>
          <w:szCs w:val="28"/>
        </w:rPr>
        <w:t xml:space="preserve"> actor narró que </w:t>
      </w:r>
      <w:r w:rsidR="00164E76">
        <w:rPr>
          <w:rFonts w:ascii="Bookman Old Style" w:eastAsia="Times New Roman" w:hAnsi="Bookman Old Style" w:cs="Arial"/>
          <w:sz w:val="28"/>
          <w:szCs w:val="28"/>
        </w:rPr>
        <w:t>es hijo</w:t>
      </w:r>
      <w:r w:rsidR="001060B7">
        <w:rPr>
          <w:rFonts w:ascii="Bookman Old Style" w:eastAsia="Times New Roman" w:hAnsi="Bookman Old Style" w:cs="Arial"/>
          <w:sz w:val="28"/>
          <w:szCs w:val="28"/>
        </w:rPr>
        <w:t xml:space="preserve"> </w:t>
      </w:r>
      <w:r w:rsidR="00164E76">
        <w:rPr>
          <w:rFonts w:ascii="Bookman Old Style" w:eastAsia="Times New Roman" w:hAnsi="Bookman Old Style" w:cs="Arial"/>
          <w:sz w:val="28"/>
          <w:szCs w:val="28"/>
        </w:rPr>
        <w:t>extramatrimonial del señor Álvaro Gómez Prada (Q.E.P.D), quien falleció el día 9 de junio de 2004.</w:t>
      </w:r>
    </w:p>
    <w:p w14:paraId="32C62531" w14:textId="77777777" w:rsidR="00B74FA4" w:rsidRPr="003F010A" w:rsidRDefault="00B74FA4" w:rsidP="00B74FA4">
      <w:pPr>
        <w:spacing w:line="360" w:lineRule="auto"/>
        <w:ind w:firstLine="709"/>
        <w:jc w:val="both"/>
        <w:rPr>
          <w:rFonts w:ascii="Bookman Old Style" w:eastAsia="Times New Roman" w:hAnsi="Bookman Old Style" w:cs="Arial"/>
          <w:sz w:val="28"/>
          <w:szCs w:val="28"/>
        </w:rPr>
      </w:pPr>
      <w:r w:rsidRPr="003F010A">
        <w:rPr>
          <w:rFonts w:ascii="Bookman Old Style" w:eastAsia="Times New Roman" w:hAnsi="Bookman Old Style" w:cs="Arial"/>
          <w:sz w:val="28"/>
          <w:szCs w:val="28"/>
        </w:rPr>
        <w:lastRenderedPageBreak/>
        <w:t>2.</w:t>
      </w:r>
      <w:r>
        <w:rPr>
          <w:rFonts w:ascii="Bookman Old Style" w:eastAsia="Times New Roman" w:hAnsi="Bookman Old Style" w:cs="Arial"/>
          <w:sz w:val="28"/>
          <w:szCs w:val="28"/>
        </w:rPr>
        <w:t xml:space="preserve"> </w:t>
      </w:r>
      <w:r w:rsidR="00164E76">
        <w:rPr>
          <w:rFonts w:ascii="Bookman Old Style" w:eastAsia="Times New Roman" w:hAnsi="Bookman Old Style" w:cs="Arial"/>
          <w:sz w:val="28"/>
          <w:szCs w:val="28"/>
        </w:rPr>
        <w:t xml:space="preserve">El finado Álvaro Gómez Prada estuvo casado con la señora Mary Hernández </w:t>
      </w:r>
      <w:r w:rsidR="000B2EEB">
        <w:rPr>
          <w:rFonts w:ascii="Bookman Old Style" w:eastAsia="Times New Roman" w:hAnsi="Bookman Old Style" w:cs="Arial"/>
          <w:sz w:val="28"/>
          <w:szCs w:val="28"/>
        </w:rPr>
        <w:t>d</w:t>
      </w:r>
      <w:r w:rsidR="00164E76">
        <w:rPr>
          <w:rFonts w:ascii="Bookman Old Style" w:eastAsia="Times New Roman" w:hAnsi="Bookman Old Style" w:cs="Arial"/>
          <w:sz w:val="28"/>
          <w:szCs w:val="28"/>
        </w:rPr>
        <w:t>e Gómez</w:t>
      </w:r>
      <w:r w:rsidR="007D661A">
        <w:rPr>
          <w:rFonts w:ascii="Bookman Old Style" w:eastAsia="Times New Roman" w:hAnsi="Bookman Old Style" w:cs="Arial"/>
          <w:sz w:val="28"/>
          <w:szCs w:val="28"/>
        </w:rPr>
        <w:t>.</w:t>
      </w:r>
      <w:r w:rsidR="00164E76">
        <w:rPr>
          <w:rFonts w:ascii="Bookman Old Style" w:eastAsia="Times New Roman" w:hAnsi="Bookman Old Style" w:cs="Arial"/>
          <w:sz w:val="28"/>
          <w:szCs w:val="28"/>
        </w:rPr>
        <w:t xml:space="preserve"> </w:t>
      </w:r>
    </w:p>
    <w:p w14:paraId="768D9D8B" w14:textId="77777777" w:rsidR="00B74FA4" w:rsidRPr="003F010A" w:rsidRDefault="00B74FA4" w:rsidP="00B74FA4">
      <w:pPr>
        <w:spacing w:line="360" w:lineRule="auto"/>
        <w:ind w:firstLine="708"/>
        <w:jc w:val="both"/>
        <w:rPr>
          <w:rFonts w:ascii="Bookman Old Style" w:eastAsia="Times New Roman" w:hAnsi="Bookman Old Style" w:cs="Arial"/>
          <w:sz w:val="28"/>
          <w:szCs w:val="28"/>
        </w:rPr>
      </w:pPr>
    </w:p>
    <w:p w14:paraId="31E1C80C" w14:textId="77777777" w:rsidR="00B74FA4" w:rsidRPr="003F010A" w:rsidRDefault="00B74FA4" w:rsidP="00B74FA4">
      <w:pPr>
        <w:spacing w:line="360" w:lineRule="auto"/>
        <w:ind w:firstLine="709"/>
        <w:jc w:val="both"/>
        <w:rPr>
          <w:rFonts w:ascii="Bookman Old Style" w:eastAsia="Times New Roman" w:hAnsi="Bookman Old Style" w:cs="Arial"/>
          <w:sz w:val="28"/>
          <w:szCs w:val="28"/>
        </w:rPr>
      </w:pPr>
      <w:r w:rsidRPr="003F010A">
        <w:rPr>
          <w:rFonts w:ascii="Bookman Old Style" w:eastAsia="Times New Roman" w:hAnsi="Bookman Old Style" w:cs="Arial"/>
          <w:sz w:val="28"/>
          <w:szCs w:val="28"/>
        </w:rPr>
        <w:t>3.</w:t>
      </w:r>
      <w:r>
        <w:rPr>
          <w:rFonts w:ascii="Bookman Old Style" w:eastAsia="Times New Roman" w:hAnsi="Bookman Old Style" w:cs="Arial"/>
          <w:sz w:val="28"/>
          <w:szCs w:val="28"/>
        </w:rPr>
        <w:t xml:space="preserve"> </w:t>
      </w:r>
      <w:r w:rsidR="00AD428A">
        <w:rPr>
          <w:rFonts w:ascii="Bookman Old Style" w:eastAsia="Times New Roman" w:hAnsi="Bookman Old Style" w:cs="Arial"/>
          <w:sz w:val="28"/>
          <w:szCs w:val="28"/>
        </w:rPr>
        <w:t>El mencionado causante padeció de una enfermedad muy delicada en los últimos años de su vida.</w:t>
      </w:r>
      <w:r>
        <w:rPr>
          <w:rFonts w:ascii="Bookman Old Style" w:eastAsia="Times New Roman" w:hAnsi="Bookman Old Style" w:cs="Arial"/>
          <w:sz w:val="28"/>
          <w:szCs w:val="28"/>
        </w:rPr>
        <w:t xml:space="preserve"> </w:t>
      </w:r>
    </w:p>
    <w:p w14:paraId="3DC4333A" w14:textId="77777777" w:rsidR="00B74FA4" w:rsidRPr="003F010A" w:rsidRDefault="00B74FA4" w:rsidP="00B74FA4">
      <w:pPr>
        <w:spacing w:line="360" w:lineRule="auto"/>
        <w:ind w:firstLine="708"/>
        <w:jc w:val="both"/>
        <w:rPr>
          <w:rFonts w:ascii="Bookman Old Style" w:eastAsia="Times New Roman" w:hAnsi="Bookman Old Style" w:cs="Arial"/>
          <w:sz w:val="28"/>
          <w:szCs w:val="28"/>
        </w:rPr>
      </w:pPr>
      <w:r>
        <w:rPr>
          <w:rFonts w:ascii="Bookman Old Style" w:eastAsia="Times New Roman" w:hAnsi="Bookman Old Style" w:cs="Arial"/>
          <w:sz w:val="28"/>
          <w:szCs w:val="28"/>
        </w:rPr>
        <w:t xml:space="preserve">  </w:t>
      </w:r>
      <w:r w:rsidRPr="003F010A">
        <w:rPr>
          <w:rFonts w:ascii="Bookman Old Style" w:eastAsia="Times New Roman" w:hAnsi="Bookman Old Style" w:cs="Arial"/>
          <w:sz w:val="28"/>
          <w:szCs w:val="28"/>
        </w:rPr>
        <w:t xml:space="preserve"> </w:t>
      </w:r>
    </w:p>
    <w:p w14:paraId="2AEDFAC2" w14:textId="77777777" w:rsidR="00B74FA4" w:rsidRDefault="00B74FA4" w:rsidP="00B74FA4">
      <w:pPr>
        <w:spacing w:line="360" w:lineRule="auto"/>
        <w:ind w:firstLine="709"/>
        <w:jc w:val="both"/>
        <w:rPr>
          <w:rFonts w:ascii="Bookman Old Style" w:eastAsia="Times New Roman" w:hAnsi="Bookman Old Style" w:cs="Arial"/>
          <w:sz w:val="28"/>
          <w:szCs w:val="28"/>
        </w:rPr>
      </w:pPr>
      <w:r w:rsidRPr="003F010A">
        <w:rPr>
          <w:rFonts w:ascii="Bookman Old Style" w:eastAsia="Times New Roman" w:hAnsi="Bookman Old Style" w:cs="Arial"/>
          <w:sz w:val="28"/>
          <w:szCs w:val="28"/>
        </w:rPr>
        <w:t>4.</w:t>
      </w:r>
      <w:r>
        <w:rPr>
          <w:rFonts w:ascii="Bookman Old Style" w:eastAsia="Times New Roman" w:hAnsi="Bookman Old Style" w:cs="Arial"/>
          <w:sz w:val="28"/>
          <w:szCs w:val="28"/>
        </w:rPr>
        <w:t xml:space="preserve"> </w:t>
      </w:r>
      <w:r w:rsidR="00447D52">
        <w:rPr>
          <w:rFonts w:ascii="Bookman Old Style" w:eastAsia="Times New Roman" w:hAnsi="Bookman Old Style" w:cs="Arial"/>
          <w:sz w:val="28"/>
          <w:szCs w:val="28"/>
        </w:rPr>
        <w:t>Las reacciones tanto emocionales como intelectuales del progenitor del convocante disminuyeron notablemente</w:t>
      </w:r>
      <w:r w:rsidR="00F27001">
        <w:rPr>
          <w:rFonts w:ascii="Bookman Old Style" w:eastAsia="Times New Roman" w:hAnsi="Bookman Old Style" w:cs="Arial"/>
          <w:sz w:val="28"/>
          <w:szCs w:val="28"/>
        </w:rPr>
        <w:t>. Se sostiene que,</w:t>
      </w:r>
      <w:r w:rsidR="00447D52">
        <w:rPr>
          <w:rFonts w:ascii="Bookman Old Style" w:eastAsia="Times New Roman" w:hAnsi="Bookman Old Style" w:cs="Arial"/>
          <w:sz w:val="28"/>
          <w:szCs w:val="28"/>
        </w:rPr>
        <w:t xml:space="preserve"> en sus últimos días</w:t>
      </w:r>
      <w:r w:rsidR="00F27001">
        <w:rPr>
          <w:rFonts w:ascii="Bookman Old Style" w:eastAsia="Times New Roman" w:hAnsi="Bookman Old Style" w:cs="Arial"/>
          <w:sz w:val="28"/>
          <w:szCs w:val="28"/>
        </w:rPr>
        <w:t>,</w:t>
      </w:r>
      <w:r w:rsidR="00447D52">
        <w:rPr>
          <w:rFonts w:ascii="Bookman Old Style" w:eastAsia="Times New Roman" w:hAnsi="Bookman Old Style" w:cs="Arial"/>
          <w:sz w:val="28"/>
          <w:szCs w:val="28"/>
        </w:rPr>
        <w:t xml:space="preserve"> era su cónyuge </w:t>
      </w:r>
      <w:r w:rsidR="00F27001">
        <w:rPr>
          <w:rFonts w:ascii="Bookman Old Style" w:eastAsia="Times New Roman" w:hAnsi="Bookman Old Style" w:cs="Arial"/>
          <w:sz w:val="28"/>
          <w:szCs w:val="28"/>
        </w:rPr>
        <w:t>quien</w:t>
      </w:r>
      <w:r w:rsidR="00447D52">
        <w:rPr>
          <w:rFonts w:ascii="Bookman Old Style" w:eastAsia="Times New Roman" w:hAnsi="Bookman Old Style" w:cs="Arial"/>
          <w:sz w:val="28"/>
          <w:szCs w:val="28"/>
        </w:rPr>
        <w:t xml:space="preserve"> manejaba </w:t>
      </w:r>
      <w:r w:rsidR="00F27001">
        <w:rPr>
          <w:rFonts w:ascii="Bookman Old Style" w:eastAsia="Times New Roman" w:hAnsi="Bookman Old Style" w:cs="Arial"/>
          <w:sz w:val="28"/>
          <w:szCs w:val="28"/>
        </w:rPr>
        <w:t xml:space="preserve">todos </w:t>
      </w:r>
      <w:r w:rsidR="002860FF">
        <w:rPr>
          <w:rFonts w:ascii="Bookman Old Style" w:eastAsia="Times New Roman" w:hAnsi="Bookman Old Style" w:cs="Arial"/>
          <w:sz w:val="28"/>
          <w:szCs w:val="28"/>
        </w:rPr>
        <w:t>los</w:t>
      </w:r>
      <w:r w:rsidR="00447D52">
        <w:rPr>
          <w:rFonts w:ascii="Bookman Old Style" w:eastAsia="Times New Roman" w:hAnsi="Bookman Old Style" w:cs="Arial"/>
          <w:sz w:val="28"/>
          <w:szCs w:val="28"/>
        </w:rPr>
        <w:t xml:space="preserve"> movimientos económicos. </w:t>
      </w:r>
    </w:p>
    <w:p w14:paraId="06B9B148" w14:textId="77777777" w:rsidR="00B74FA4" w:rsidRDefault="00B74FA4" w:rsidP="00B74FA4">
      <w:pPr>
        <w:spacing w:line="360" w:lineRule="auto"/>
        <w:ind w:firstLine="709"/>
        <w:jc w:val="both"/>
        <w:rPr>
          <w:rFonts w:ascii="Bookman Old Style" w:eastAsia="Times New Roman" w:hAnsi="Bookman Old Style" w:cs="Arial"/>
          <w:sz w:val="28"/>
          <w:szCs w:val="28"/>
        </w:rPr>
      </w:pPr>
    </w:p>
    <w:p w14:paraId="1CD2D19A" w14:textId="77777777" w:rsidR="00AF63F7" w:rsidRDefault="00B74FA4" w:rsidP="00B74FA4">
      <w:pPr>
        <w:spacing w:line="360" w:lineRule="auto"/>
        <w:ind w:firstLine="709"/>
        <w:jc w:val="both"/>
        <w:rPr>
          <w:rFonts w:ascii="Bookman Old Style" w:eastAsia="Times New Roman" w:hAnsi="Bookman Old Style" w:cs="Arial"/>
          <w:sz w:val="28"/>
          <w:szCs w:val="28"/>
        </w:rPr>
      </w:pPr>
      <w:r>
        <w:rPr>
          <w:rFonts w:ascii="Bookman Old Style" w:eastAsia="Times New Roman" w:hAnsi="Bookman Old Style" w:cs="Arial"/>
          <w:sz w:val="28"/>
          <w:szCs w:val="28"/>
        </w:rPr>
        <w:t xml:space="preserve">5. </w:t>
      </w:r>
      <w:r w:rsidR="00AF63F7">
        <w:rPr>
          <w:rFonts w:ascii="Bookman Old Style" w:eastAsia="Times New Roman" w:hAnsi="Bookman Old Style" w:cs="Arial"/>
          <w:sz w:val="28"/>
          <w:szCs w:val="28"/>
        </w:rPr>
        <w:t xml:space="preserve">La demandada Mary Hernández </w:t>
      </w:r>
      <w:r w:rsidR="007D02F6">
        <w:rPr>
          <w:rFonts w:ascii="Bookman Old Style" w:eastAsia="Times New Roman" w:hAnsi="Bookman Old Style" w:cs="Arial"/>
          <w:sz w:val="28"/>
          <w:szCs w:val="28"/>
        </w:rPr>
        <w:t>d</w:t>
      </w:r>
      <w:r w:rsidR="00AF63F7">
        <w:rPr>
          <w:rFonts w:ascii="Bookman Old Style" w:eastAsia="Times New Roman" w:hAnsi="Bookman Old Style" w:cs="Arial"/>
          <w:sz w:val="28"/>
          <w:szCs w:val="28"/>
        </w:rPr>
        <w:t>e Gómez</w:t>
      </w:r>
      <w:r w:rsidR="00F27001">
        <w:rPr>
          <w:rFonts w:ascii="Bookman Old Style" w:eastAsia="Times New Roman" w:hAnsi="Bookman Old Style" w:cs="Arial"/>
          <w:sz w:val="28"/>
          <w:szCs w:val="28"/>
        </w:rPr>
        <w:t xml:space="preserve"> -se </w:t>
      </w:r>
      <w:r w:rsidR="001947B1">
        <w:rPr>
          <w:rFonts w:ascii="Bookman Old Style" w:eastAsia="Times New Roman" w:hAnsi="Bookman Old Style" w:cs="Arial"/>
          <w:sz w:val="28"/>
          <w:szCs w:val="28"/>
        </w:rPr>
        <w:t>sostuvo</w:t>
      </w:r>
      <w:r w:rsidR="00F27001">
        <w:rPr>
          <w:rFonts w:ascii="Bookman Old Style" w:eastAsia="Times New Roman" w:hAnsi="Bookman Old Style" w:cs="Arial"/>
          <w:sz w:val="28"/>
          <w:szCs w:val="28"/>
        </w:rPr>
        <w:t>-</w:t>
      </w:r>
      <w:r w:rsidR="00AF63F7">
        <w:rPr>
          <w:rFonts w:ascii="Bookman Old Style" w:eastAsia="Times New Roman" w:hAnsi="Bookman Old Style" w:cs="Arial"/>
          <w:sz w:val="28"/>
          <w:szCs w:val="28"/>
        </w:rPr>
        <w:t xml:space="preserve"> manipul</w:t>
      </w:r>
      <w:r w:rsidR="00BF0FFE">
        <w:rPr>
          <w:rFonts w:ascii="Bookman Old Style" w:eastAsia="Times New Roman" w:hAnsi="Bookman Old Style" w:cs="Arial"/>
          <w:sz w:val="28"/>
          <w:szCs w:val="28"/>
        </w:rPr>
        <w:t>ó</w:t>
      </w:r>
      <w:r w:rsidR="00AF63F7">
        <w:rPr>
          <w:rFonts w:ascii="Bookman Old Style" w:eastAsia="Times New Roman" w:hAnsi="Bookman Old Style" w:cs="Arial"/>
          <w:sz w:val="28"/>
          <w:szCs w:val="28"/>
        </w:rPr>
        <w:t xml:space="preserve"> todo para que</w:t>
      </w:r>
      <w:r w:rsidR="00F27001">
        <w:rPr>
          <w:rFonts w:ascii="Bookman Old Style" w:eastAsia="Times New Roman" w:hAnsi="Bookman Old Style" w:cs="Arial"/>
          <w:sz w:val="28"/>
          <w:szCs w:val="28"/>
        </w:rPr>
        <w:t xml:space="preserve">, </w:t>
      </w:r>
      <w:r w:rsidR="00AF63F7">
        <w:rPr>
          <w:rFonts w:ascii="Bookman Old Style" w:eastAsia="Times New Roman" w:hAnsi="Bookman Old Style" w:cs="Arial"/>
          <w:sz w:val="28"/>
          <w:szCs w:val="28"/>
        </w:rPr>
        <w:t xml:space="preserve">varios días antes de su </w:t>
      </w:r>
      <w:r w:rsidR="00F27001">
        <w:rPr>
          <w:rFonts w:ascii="Bookman Old Style" w:eastAsia="Times New Roman" w:hAnsi="Bookman Old Style" w:cs="Arial"/>
          <w:sz w:val="28"/>
          <w:szCs w:val="28"/>
        </w:rPr>
        <w:t>fallecimiento,</w:t>
      </w:r>
      <w:r w:rsidR="00AF63F7">
        <w:rPr>
          <w:rFonts w:ascii="Bookman Old Style" w:eastAsia="Times New Roman" w:hAnsi="Bookman Old Style" w:cs="Arial"/>
          <w:sz w:val="28"/>
          <w:szCs w:val="28"/>
        </w:rPr>
        <w:t xml:space="preserve"> suscribieran </w:t>
      </w:r>
      <w:r w:rsidR="00E54763">
        <w:rPr>
          <w:rFonts w:ascii="Bookman Old Style" w:eastAsia="Times New Roman" w:hAnsi="Bookman Old Style" w:cs="Arial"/>
          <w:sz w:val="28"/>
          <w:szCs w:val="28"/>
        </w:rPr>
        <w:t>l</w:t>
      </w:r>
      <w:r w:rsidR="00AF63F7">
        <w:rPr>
          <w:rFonts w:ascii="Bookman Old Style" w:eastAsia="Times New Roman" w:hAnsi="Bookman Old Style" w:cs="Arial"/>
          <w:sz w:val="28"/>
          <w:szCs w:val="28"/>
        </w:rPr>
        <w:t>a escritura pública</w:t>
      </w:r>
      <w:r w:rsidR="00E54763">
        <w:rPr>
          <w:rFonts w:ascii="Bookman Old Style" w:eastAsia="Times New Roman" w:hAnsi="Bookman Old Style" w:cs="Arial"/>
          <w:sz w:val="28"/>
          <w:szCs w:val="28"/>
        </w:rPr>
        <w:t xml:space="preserve"> 971 del 12 de mayo de 2004</w:t>
      </w:r>
      <w:r w:rsidR="00F27001">
        <w:rPr>
          <w:rFonts w:ascii="Bookman Old Style" w:eastAsia="Times New Roman" w:hAnsi="Bookman Old Style" w:cs="Arial"/>
          <w:sz w:val="28"/>
          <w:szCs w:val="28"/>
        </w:rPr>
        <w:t xml:space="preserve"> (</w:t>
      </w:r>
      <w:r w:rsidR="00E54763">
        <w:rPr>
          <w:rFonts w:ascii="Bookman Old Style" w:eastAsia="Times New Roman" w:hAnsi="Bookman Old Style" w:cs="Arial"/>
          <w:sz w:val="28"/>
          <w:szCs w:val="28"/>
        </w:rPr>
        <w:t>otorgada en la Notaría Décima del Círculo de Bucaramanga</w:t>
      </w:r>
      <w:r w:rsidR="00F27001">
        <w:rPr>
          <w:rFonts w:ascii="Bookman Old Style" w:eastAsia="Times New Roman" w:hAnsi="Bookman Old Style" w:cs="Arial"/>
          <w:sz w:val="28"/>
          <w:szCs w:val="28"/>
        </w:rPr>
        <w:t>).</w:t>
      </w:r>
      <w:r w:rsidR="00E54763">
        <w:rPr>
          <w:rFonts w:ascii="Bookman Old Style" w:eastAsia="Times New Roman" w:hAnsi="Bookman Old Style" w:cs="Arial"/>
          <w:sz w:val="28"/>
          <w:szCs w:val="28"/>
        </w:rPr>
        <w:t xml:space="preserve"> </w:t>
      </w:r>
      <w:r w:rsidR="00F27001">
        <w:rPr>
          <w:rFonts w:ascii="Bookman Old Style" w:eastAsia="Times New Roman" w:hAnsi="Bookman Old Style" w:cs="Arial"/>
          <w:sz w:val="28"/>
          <w:szCs w:val="28"/>
        </w:rPr>
        <w:t>Con este instrumento público</w:t>
      </w:r>
      <w:r w:rsidR="00E54763">
        <w:rPr>
          <w:rFonts w:ascii="Bookman Old Style" w:eastAsia="Times New Roman" w:hAnsi="Bookman Old Style" w:cs="Arial"/>
          <w:sz w:val="28"/>
          <w:szCs w:val="28"/>
        </w:rPr>
        <w:t xml:space="preserve"> se liquidó la sociedad conyugal conformada entre Mary Hernández </w:t>
      </w:r>
      <w:r w:rsidR="00ED4CB7">
        <w:rPr>
          <w:rFonts w:ascii="Bookman Old Style" w:eastAsia="Times New Roman" w:hAnsi="Bookman Old Style" w:cs="Arial"/>
          <w:sz w:val="28"/>
          <w:szCs w:val="28"/>
        </w:rPr>
        <w:t>d</w:t>
      </w:r>
      <w:r w:rsidR="00E54763">
        <w:rPr>
          <w:rFonts w:ascii="Bookman Old Style" w:eastAsia="Times New Roman" w:hAnsi="Bookman Old Style" w:cs="Arial"/>
          <w:sz w:val="28"/>
          <w:szCs w:val="28"/>
        </w:rPr>
        <w:t>e Gómez y Álvaro Gómez Prada</w:t>
      </w:r>
      <w:r w:rsidR="00F27001">
        <w:rPr>
          <w:rFonts w:ascii="Bookman Old Style" w:eastAsia="Times New Roman" w:hAnsi="Bookman Old Style" w:cs="Arial"/>
          <w:sz w:val="28"/>
          <w:szCs w:val="28"/>
        </w:rPr>
        <w:t>.</w:t>
      </w:r>
      <w:r w:rsidR="00E54763">
        <w:rPr>
          <w:rFonts w:ascii="Bookman Old Style" w:eastAsia="Times New Roman" w:hAnsi="Bookman Old Style" w:cs="Arial"/>
          <w:sz w:val="28"/>
          <w:szCs w:val="28"/>
        </w:rPr>
        <w:t xml:space="preserve"> </w:t>
      </w:r>
      <w:r w:rsidR="00F27001">
        <w:rPr>
          <w:rFonts w:ascii="Bookman Old Style" w:eastAsia="Times New Roman" w:hAnsi="Bookman Old Style" w:cs="Arial"/>
          <w:sz w:val="28"/>
          <w:szCs w:val="28"/>
        </w:rPr>
        <w:t>A</w:t>
      </w:r>
      <w:r w:rsidR="00E54763">
        <w:rPr>
          <w:rFonts w:ascii="Bookman Old Style" w:eastAsia="Times New Roman" w:hAnsi="Bookman Old Style" w:cs="Arial"/>
          <w:sz w:val="28"/>
          <w:szCs w:val="28"/>
        </w:rPr>
        <w:t>demás</w:t>
      </w:r>
      <w:r w:rsidR="00F27001">
        <w:rPr>
          <w:rFonts w:ascii="Bookman Old Style" w:eastAsia="Times New Roman" w:hAnsi="Bookman Old Style" w:cs="Arial"/>
          <w:sz w:val="28"/>
          <w:szCs w:val="28"/>
        </w:rPr>
        <w:t>, se incorporó</w:t>
      </w:r>
      <w:r w:rsidR="00E54763">
        <w:rPr>
          <w:rFonts w:ascii="Bookman Old Style" w:eastAsia="Times New Roman" w:hAnsi="Bookman Old Style" w:cs="Arial"/>
          <w:sz w:val="28"/>
          <w:szCs w:val="28"/>
        </w:rPr>
        <w:t xml:space="preserve"> la renuncia a todos los gananciales realizada por este último</w:t>
      </w:r>
      <w:r w:rsidR="009C7120">
        <w:rPr>
          <w:rFonts w:ascii="Bookman Old Style" w:eastAsia="Times New Roman" w:hAnsi="Bookman Old Style" w:cs="Arial"/>
          <w:sz w:val="28"/>
          <w:szCs w:val="28"/>
        </w:rPr>
        <w:t>.</w:t>
      </w:r>
    </w:p>
    <w:p w14:paraId="5EBFCE7F" w14:textId="77777777" w:rsidR="00B74FA4" w:rsidRDefault="00AF63F7" w:rsidP="00B74FA4">
      <w:pPr>
        <w:spacing w:line="360" w:lineRule="auto"/>
        <w:ind w:firstLine="709"/>
        <w:jc w:val="both"/>
        <w:rPr>
          <w:rFonts w:ascii="Bookman Old Style" w:eastAsia="Times New Roman" w:hAnsi="Bookman Old Style" w:cs="Arial"/>
          <w:sz w:val="28"/>
          <w:szCs w:val="28"/>
        </w:rPr>
      </w:pPr>
      <w:r>
        <w:rPr>
          <w:rFonts w:ascii="Bookman Old Style" w:eastAsia="Times New Roman" w:hAnsi="Bookman Old Style" w:cs="Arial"/>
          <w:sz w:val="28"/>
          <w:szCs w:val="28"/>
        </w:rPr>
        <w:t xml:space="preserve">  </w:t>
      </w:r>
    </w:p>
    <w:p w14:paraId="7F61B7E6" w14:textId="77777777" w:rsidR="00B74FA4" w:rsidRDefault="00B74FA4" w:rsidP="00B74FA4">
      <w:pPr>
        <w:spacing w:line="360" w:lineRule="auto"/>
        <w:ind w:firstLine="709"/>
        <w:jc w:val="both"/>
        <w:rPr>
          <w:rFonts w:ascii="Bookman Old Style" w:eastAsia="Times New Roman" w:hAnsi="Bookman Old Style" w:cs="Arial"/>
          <w:sz w:val="28"/>
          <w:szCs w:val="28"/>
        </w:rPr>
      </w:pPr>
      <w:r>
        <w:rPr>
          <w:rFonts w:ascii="Bookman Old Style" w:eastAsia="Times New Roman" w:hAnsi="Bookman Old Style" w:cs="Arial"/>
          <w:sz w:val="28"/>
          <w:szCs w:val="28"/>
        </w:rPr>
        <w:t xml:space="preserve">6. Narra el escrito introductorio </w:t>
      </w:r>
      <w:r w:rsidRPr="00184AE6">
        <w:rPr>
          <w:rFonts w:ascii="Bookman Old Style" w:eastAsia="Times New Roman" w:hAnsi="Bookman Old Style" w:cs="Arial"/>
          <w:sz w:val="28"/>
          <w:szCs w:val="28"/>
        </w:rPr>
        <w:t xml:space="preserve">que </w:t>
      </w:r>
      <w:r w:rsidR="00B60C9F" w:rsidRPr="00184AE6">
        <w:rPr>
          <w:rFonts w:ascii="Bookman Old Style" w:eastAsia="Times New Roman" w:hAnsi="Bookman Old Style" w:cs="Arial"/>
          <w:sz w:val="28"/>
          <w:szCs w:val="28"/>
        </w:rPr>
        <w:t>l</w:t>
      </w:r>
      <w:r w:rsidRPr="00184AE6">
        <w:rPr>
          <w:rFonts w:ascii="Bookman Old Style" w:eastAsia="Times New Roman" w:hAnsi="Bookman Old Style" w:cs="Arial"/>
          <w:sz w:val="28"/>
          <w:szCs w:val="28"/>
        </w:rPr>
        <w:t>a</w:t>
      </w:r>
      <w:r w:rsidR="00B60C9F" w:rsidRPr="00184AE6">
        <w:rPr>
          <w:rFonts w:ascii="Bookman Old Style" w:eastAsia="Times New Roman" w:hAnsi="Bookman Old Style" w:cs="Arial"/>
          <w:sz w:val="28"/>
          <w:szCs w:val="28"/>
        </w:rPr>
        <w:t xml:space="preserve"> renuncia a gananciales le es </w:t>
      </w:r>
      <w:r w:rsidR="00B60C9F" w:rsidRPr="00184AE6">
        <w:rPr>
          <w:rFonts w:ascii="Bookman Old Style" w:eastAsia="Times New Roman" w:hAnsi="Bookman Old Style" w:cs="Arial"/>
          <w:b/>
          <w:sz w:val="28"/>
          <w:szCs w:val="28"/>
        </w:rPr>
        <w:t xml:space="preserve">inoponible </w:t>
      </w:r>
      <w:r w:rsidR="00B60C9F" w:rsidRPr="00184AE6">
        <w:rPr>
          <w:rFonts w:ascii="Bookman Old Style" w:eastAsia="Times New Roman" w:hAnsi="Bookman Old Style" w:cs="Arial"/>
          <w:sz w:val="28"/>
          <w:szCs w:val="28"/>
        </w:rPr>
        <w:t xml:space="preserve">a los intereses y derechos del promotor en su calidad de heredero, que </w:t>
      </w:r>
      <w:r w:rsidR="00B60C9F">
        <w:rPr>
          <w:rFonts w:ascii="Bookman Old Style" w:eastAsia="Times New Roman" w:hAnsi="Bookman Old Style" w:cs="Arial"/>
          <w:sz w:val="28"/>
          <w:szCs w:val="28"/>
        </w:rPr>
        <w:t xml:space="preserve">para este acto </w:t>
      </w:r>
      <w:r w:rsidR="001947B1">
        <w:rPr>
          <w:rFonts w:ascii="Bookman Old Style" w:eastAsia="Times New Roman" w:hAnsi="Bookman Old Style" w:cs="Arial"/>
          <w:sz w:val="28"/>
          <w:szCs w:val="28"/>
        </w:rPr>
        <w:t>-</w:t>
      </w:r>
      <w:r w:rsidR="00B60C9F">
        <w:rPr>
          <w:rFonts w:ascii="Bookman Old Style" w:eastAsia="Times New Roman" w:hAnsi="Bookman Old Style" w:cs="Arial"/>
          <w:sz w:val="28"/>
          <w:szCs w:val="28"/>
        </w:rPr>
        <w:t xml:space="preserve"> de conformidad con el artículo 1775 del Código Civil</w:t>
      </w:r>
      <w:r w:rsidR="001947B1">
        <w:rPr>
          <w:rFonts w:ascii="Bookman Old Style" w:eastAsia="Times New Roman" w:hAnsi="Bookman Old Style" w:cs="Arial"/>
          <w:sz w:val="28"/>
          <w:szCs w:val="28"/>
        </w:rPr>
        <w:t>-</w:t>
      </w:r>
      <w:r w:rsidR="00B60C9F">
        <w:rPr>
          <w:rFonts w:ascii="Bookman Old Style" w:eastAsia="Times New Roman" w:hAnsi="Bookman Old Style" w:cs="Arial"/>
          <w:sz w:val="28"/>
          <w:szCs w:val="28"/>
        </w:rPr>
        <w:t xml:space="preserve">, debe </w:t>
      </w:r>
      <w:r w:rsidR="00F262C7">
        <w:rPr>
          <w:rFonts w:ascii="Bookman Old Style" w:eastAsia="Times New Roman" w:hAnsi="Bookman Old Style" w:cs="Arial"/>
          <w:sz w:val="28"/>
          <w:szCs w:val="28"/>
        </w:rPr>
        <w:t>considerársele</w:t>
      </w:r>
      <w:r w:rsidR="00B60C9F">
        <w:rPr>
          <w:rFonts w:ascii="Bookman Old Style" w:eastAsia="Times New Roman" w:hAnsi="Bookman Old Style" w:cs="Arial"/>
          <w:sz w:val="28"/>
          <w:szCs w:val="28"/>
        </w:rPr>
        <w:t xml:space="preserve"> como tercero</w:t>
      </w:r>
      <w:r w:rsidR="00CC71D2">
        <w:rPr>
          <w:rFonts w:ascii="Bookman Old Style" w:eastAsia="Times New Roman" w:hAnsi="Bookman Old Style" w:cs="Arial"/>
          <w:sz w:val="28"/>
          <w:szCs w:val="28"/>
        </w:rPr>
        <w:t xml:space="preserve"> perjudicado</w:t>
      </w:r>
      <w:r w:rsidR="00B60C9F">
        <w:rPr>
          <w:rFonts w:ascii="Bookman Old Style" w:eastAsia="Times New Roman" w:hAnsi="Bookman Old Style" w:cs="Arial"/>
          <w:sz w:val="28"/>
          <w:szCs w:val="28"/>
        </w:rPr>
        <w:t>, que</w:t>
      </w:r>
      <w:r w:rsidR="00CC71D2">
        <w:rPr>
          <w:rFonts w:ascii="Bookman Old Style" w:eastAsia="Times New Roman" w:hAnsi="Bookman Old Style" w:cs="Arial"/>
          <w:sz w:val="28"/>
          <w:szCs w:val="28"/>
        </w:rPr>
        <w:t xml:space="preserve"> se le </w:t>
      </w:r>
      <w:r w:rsidR="00E54763">
        <w:rPr>
          <w:rFonts w:ascii="Bookman Old Style" w:eastAsia="Times New Roman" w:hAnsi="Bookman Old Style" w:cs="Arial"/>
          <w:sz w:val="28"/>
          <w:szCs w:val="28"/>
        </w:rPr>
        <w:t xml:space="preserve">está </w:t>
      </w:r>
      <w:r w:rsidR="005D1AF7">
        <w:rPr>
          <w:rFonts w:ascii="Bookman Old Style" w:eastAsia="Times New Roman" w:hAnsi="Bookman Old Style" w:cs="Arial"/>
          <w:sz w:val="28"/>
          <w:szCs w:val="28"/>
        </w:rPr>
        <w:t>privando de</w:t>
      </w:r>
      <w:r w:rsidR="00CC71D2">
        <w:rPr>
          <w:rFonts w:ascii="Bookman Old Style" w:eastAsia="Times New Roman" w:hAnsi="Bookman Old Style" w:cs="Arial"/>
          <w:sz w:val="28"/>
          <w:szCs w:val="28"/>
        </w:rPr>
        <w:t xml:space="preserve"> cualquier posibilidad de acceder a los bienes que podría heredar de su difunto padre.</w:t>
      </w:r>
      <w:r w:rsidR="00B60C9F">
        <w:rPr>
          <w:rFonts w:ascii="Bookman Old Style" w:eastAsia="Times New Roman" w:hAnsi="Bookman Old Style" w:cs="Arial"/>
          <w:sz w:val="28"/>
          <w:szCs w:val="28"/>
        </w:rPr>
        <w:t xml:space="preserve"> </w:t>
      </w:r>
    </w:p>
    <w:p w14:paraId="62D8E39F" w14:textId="77777777" w:rsidR="00B74FA4" w:rsidRDefault="00B74FA4" w:rsidP="00B74FA4">
      <w:pPr>
        <w:spacing w:line="360" w:lineRule="auto"/>
        <w:ind w:firstLine="709"/>
        <w:jc w:val="both"/>
        <w:rPr>
          <w:rFonts w:ascii="Bookman Old Style" w:eastAsia="Times New Roman" w:hAnsi="Bookman Old Style" w:cs="Arial"/>
          <w:sz w:val="28"/>
          <w:szCs w:val="28"/>
        </w:rPr>
      </w:pPr>
    </w:p>
    <w:p w14:paraId="35A12859" w14:textId="77777777" w:rsidR="00B74FA4" w:rsidRDefault="00E54763" w:rsidP="00B74FA4">
      <w:pPr>
        <w:spacing w:line="360" w:lineRule="auto"/>
        <w:ind w:firstLine="709"/>
        <w:jc w:val="both"/>
        <w:rPr>
          <w:rFonts w:ascii="Bookman Old Style" w:eastAsia="Times New Roman" w:hAnsi="Bookman Old Style" w:cs="Arial"/>
          <w:sz w:val="28"/>
          <w:szCs w:val="28"/>
        </w:rPr>
      </w:pPr>
      <w:r>
        <w:rPr>
          <w:rFonts w:ascii="Bookman Old Style" w:eastAsia="Times New Roman" w:hAnsi="Bookman Old Style" w:cs="Arial"/>
          <w:sz w:val="28"/>
          <w:szCs w:val="28"/>
        </w:rPr>
        <w:t>7</w:t>
      </w:r>
      <w:r w:rsidR="00B74FA4">
        <w:rPr>
          <w:rFonts w:ascii="Bookman Old Style" w:eastAsia="Times New Roman" w:hAnsi="Bookman Old Style" w:cs="Arial"/>
          <w:sz w:val="28"/>
          <w:szCs w:val="28"/>
        </w:rPr>
        <w:t>. Menciona el libelo que</w:t>
      </w:r>
      <w:r w:rsidR="00625CBF">
        <w:rPr>
          <w:rFonts w:ascii="Bookman Old Style" w:eastAsia="Times New Roman" w:hAnsi="Bookman Old Style" w:cs="Arial"/>
          <w:sz w:val="28"/>
          <w:szCs w:val="28"/>
        </w:rPr>
        <w:t>,</w:t>
      </w:r>
      <w:r w:rsidR="00B74FA4">
        <w:rPr>
          <w:rFonts w:ascii="Bookman Old Style" w:eastAsia="Times New Roman" w:hAnsi="Bookman Old Style" w:cs="Arial"/>
          <w:sz w:val="28"/>
          <w:szCs w:val="28"/>
        </w:rPr>
        <w:t xml:space="preserve"> </w:t>
      </w:r>
      <w:r w:rsidR="00CB7CB7">
        <w:rPr>
          <w:rFonts w:ascii="Bookman Old Style" w:eastAsia="Times New Roman" w:hAnsi="Bookman Old Style" w:cs="Arial"/>
          <w:sz w:val="28"/>
          <w:szCs w:val="28"/>
        </w:rPr>
        <w:t xml:space="preserve">para efectos de la legitimación en </w:t>
      </w:r>
      <w:r w:rsidR="00304CDA">
        <w:rPr>
          <w:rFonts w:ascii="Bookman Old Style" w:eastAsia="Times New Roman" w:hAnsi="Bookman Old Style" w:cs="Arial"/>
          <w:sz w:val="28"/>
          <w:szCs w:val="28"/>
        </w:rPr>
        <w:t xml:space="preserve">causa </w:t>
      </w:r>
      <w:r w:rsidR="00D20F53">
        <w:rPr>
          <w:rFonts w:ascii="Bookman Old Style" w:eastAsia="Times New Roman" w:hAnsi="Bookman Old Style" w:cs="Arial"/>
          <w:sz w:val="28"/>
          <w:szCs w:val="28"/>
        </w:rPr>
        <w:t>activa, el demandante</w:t>
      </w:r>
      <w:r w:rsidR="00CB7CB7">
        <w:rPr>
          <w:rFonts w:ascii="Bookman Old Style" w:eastAsia="Times New Roman" w:hAnsi="Bookman Old Style" w:cs="Arial"/>
          <w:sz w:val="28"/>
          <w:szCs w:val="28"/>
        </w:rPr>
        <w:t xml:space="preserve"> debe </w:t>
      </w:r>
      <w:r w:rsidR="00D92593">
        <w:rPr>
          <w:rFonts w:ascii="Bookman Old Style" w:eastAsia="Times New Roman" w:hAnsi="Bookman Old Style" w:cs="Arial"/>
          <w:sz w:val="28"/>
          <w:szCs w:val="28"/>
        </w:rPr>
        <w:t xml:space="preserve">ser </w:t>
      </w:r>
      <w:r w:rsidR="00CB7CB7">
        <w:rPr>
          <w:rFonts w:ascii="Bookman Old Style" w:eastAsia="Times New Roman" w:hAnsi="Bookman Old Style" w:cs="Arial"/>
          <w:sz w:val="28"/>
          <w:szCs w:val="28"/>
        </w:rPr>
        <w:lastRenderedPageBreak/>
        <w:t>consider</w:t>
      </w:r>
      <w:r w:rsidR="00E90390">
        <w:rPr>
          <w:rFonts w:ascii="Bookman Old Style" w:eastAsia="Times New Roman" w:hAnsi="Bookman Old Style" w:cs="Arial"/>
          <w:sz w:val="28"/>
          <w:szCs w:val="28"/>
        </w:rPr>
        <w:t xml:space="preserve">ado </w:t>
      </w:r>
      <w:r w:rsidR="00CB7CB7">
        <w:rPr>
          <w:rFonts w:ascii="Bookman Old Style" w:eastAsia="Times New Roman" w:hAnsi="Bookman Old Style" w:cs="Arial"/>
          <w:sz w:val="28"/>
          <w:szCs w:val="28"/>
        </w:rPr>
        <w:t xml:space="preserve">como un tercero frente al acto </w:t>
      </w:r>
      <w:r w:rsidR="00BC1B6E">
        <w:rPr>
          <w:rFonts w:ascii="Bookman Old Style" w:eastAsia="Times New Roman" w:hAnsi="Bookman Old Style" w:cs="Arial"/>
          <w:sz w:val="28"/>
          <w:szCs w:val="28"/>
        </w:rPr>
        <w:t>u</w:t>
      </w:r>
      <w:r w:rsidR="00CB7CB7">
        <w:rPr>
          <w:rFonts w:ascii="Bookman Old Style" w:eastAsia="Times New Roman" w:hAnsi="Bookman Old Style" w:cs="Arial"/>
          <w:sz w:val="28"/>
          <w:szCs w:val="28"/>
        </w:rPr>
        <w:t>ni</w:t>
      </w:r>
      <w:r w:rsidR="001947B1">
        <w:rPr>
          <w:rFonts w:ascii="Bookman Old Style" w:eastAsia="Times New Roman" w:hAnsi="Bookman Old Style" w:cs="Arial"/>
          <w:sz w:val="28"/>
          <w:szCs w:val="28"/>
        </w:rPr>
        <w:t>lateral</w:t>
      </w:r>
      <w:r w:rsidR="00CB7CB7">
        <w:rPr>
          <w:rFonts w:ascii="Bookman Old Style" w:eastAsia="Times New Roman" w:hAnsi="Bookman Old Style" w:cs="Arial"/>
          <w:sz w:val="28"/>
          <w:szCs w:val="28"/>
        </w:rPr>
        <w:t xml:space="preserve"> de la renuncia de gananciales que afecta sus intereses, el cual le es inoponible a sus derechos como heredero</w:t>
      </w:r>
      <w:r w:rsidR="001947B1">
        <w:rPr>
          <w:rFonts w:ascii="Bookman Old Style" w:eastAsia="Times New Roman" w:hAnsi="Bookman Old Style" w:cs="Arial"/>
          <w:sz w:val="28"/>
          <w:szCs w:val="28"/>
        </w:rPr>
        <w:t>.</w:t>
      </w:r>
      <w:r w:rsidR="00CB7CB7">
        <w:rPr>
          <w:rFonts w:ascii="Bookman Old Style" w:eastAsia="Times New Roman" w:hAnsi="Bookman Old Style" w:cs="Arial"/>
          <w:sz w:val="28"/>
          <w:szCs w:val="28"/>
        </w:rPr>
        <w:t xml:space="preserve"> </w:t>
      </w:r>
      <w:r w:rsidR="001947B1">
        <w:rPr>
          <w:rFonts w:ascii="Bookman Old Style" w:eastAsia="Times New Roman" w:hAnsi="Bookman Old Style" w:cs="Arial"/>
          <w:sz w:val="28"/>
          <w:szCs w:val="28"/>
        </w:rPr>
        <w:t>A</w:t>
      </w:r>
      <w:r w:rsidR="00C260B3">
        <w:rPr>
          <w:rFonts w:ascii="Bookman Old Style" w:eastAsia="Times New Roman" w:hAnsi="Bookman Old Style" w:cs="Arial"/>
          <w:sz w:val="28"/>
          <w:szCs w:val="28"/>
        </w:rPr>
        <w:t xml:space="preserve">lude en torno a la </w:t>
      </w:r>
      <w:r w:rsidR="00BC1B6E">
        <w:rPr>
          <w:rFonts w:ascii="Bookman Old Style" w:eastAsia="Times New Roman" w:hAnsi="Bookman Old Style" w:cs="Arial"/>
          <w:sz w:val="28"/>
          <w:szCs w:val="28"/>
        </w:rPr>
        <w:t>inoponibilidad</w:t>
      </w:r>
      <w:r w:rsidR="00C260B3">
        <w:rPr>
          <w:rFonts w:ascii="Bookman Old Style" w:eastAsia="Times New Roman" w:hAnsi="Bookman Old Style" w:cs="Arial"/>
          <w:sz w:val="28"/>
          <w:szCs w:val="28"/>
        </w:rPr>
        <w:t>,</w:t>
      </w:r>
      <w:r w:rsidR="00BC1B6E">
        <w:rPr>
          <w:rFonts w:ascii="Bookman Old Style" w:eastAsia="Times New Roman" w:hAnsi="Bookman Old Style" w:cs="Arial"/>
          <w:sz w:val="28"/>
          <w:szCs w:val="28"/>
        </w:rPr>
        <w:t xml:space="preserve"> </w:t>
      </w:r>
      <w:r w:rsidR="00C260B3">
        <w:rPr>
          <w:rFonts w:ascii="Bookman Old Style" w:eastAsia="Times New Roman" w:hAnsi="Bookman Old Style" w:cs="Arial"/>
          <w:sz w:val="28"/>
          <w:szCs w:val="28"/>
        </w:rPr>
        <w:t xml:space="preserve">la existencia de sentencias de esta Corporación, pero solo destaca la calendada </w:t>
      </w:r>
      <w:r w:rsidR="00BC1B6E">
        <w:rPr>
          <w:rFonts w:ascii="Bookman Old Style" w:eastAsia="Times New Roman" w:hAnsi="Bookman Old Style" w:cs="Arial"/>
          <w:sz w:val="28"/>
          <w:szCs w:val="28"/>
        </w:rPr>
        <w:t xml:space="preserve">30 de enero de 2006, expediente 1995-29402-02. </w:t>
      </w:r>
      <w:r w:rsidR="00CB7CB7">
        <w:rPr>
          <w:rFonts w:ascii="Bookman Old Style" w:eastAsia="Times New Roman" w:hAnsi="Bookman Old Style" w:cs="Arial"/>
          <w:sz w:val="28"/>
          <w:szCs w:val="28"/>
        </w:rPr>
        <w:t xml:space="preserve"> </w:t>
      </w:r>
    </w:p>
    <w:p w14:paraId="0295B328" w14:textId="77777777" w:rsidR="00B74FA4" w:rsidRDefault="00B74FA4" w:rsidP="00B74FA4">
      <w:pPr>
        <w:spacing w:line="360" w:lineRule="auto"/>
        <w:ind w:firstLine="709"/>
        <w:jc w:val="both"/>
        <w:rPr>
          <w:rFonts w:ascii="Bookman Old Style" w:eastAsia="Times New Roman" w:hAnsi="Bookman Old Style" w:cs="Arial"/>
          <w:sz w:val="28"/>
          <w:szCs w:val="28"/>
        </w:rPr>
      </w:pPr>
    </w:p>
    <w:p w14:paraId="4406AA52" w14:textId="77777777" w:rsidR="00B74FA4" w:rsidRDefault="005C1270" w:rsidP="00B74FA4">
      <w:pPr>
        <w:spacing w:line="360" w:lineRule="auto"/>
        <w:ind w:firstLine="709"/>
        <w:jc w:val="both"/>
        <w:rPr>
          <w:rFonts w:ascii="Bookman Old Style" w:eastAsia="Times New Roman" w:hAnsi="Bookman Old Style" w:cs="Arial"/>
          <w:sz w:val="28"/>
          <w:szCs w:val="28"/>
        </w:rPr>
      </w:pPr>
      <w:r>
        <w:rPr>
          <w:rFonts w:ascii="Bookman Old Style" w:eastAsia="Times New Roman" w:hAnsi="Bookman Old Style" w:cs="Arial"/>
          <w:sz w:val="28"/>
          <w:szCs w:val="28"/>
        </w:rPr>
        <w:t>8</w:t>
      </w:r>
      <w:r w:rsidR="00B74FA4">
        <w:rPr>
          <w:rFonts w:ascii="Bookman Old Style" w:eastAsia="Times New Roman" w:hAnsi="Bookman Old Style" w:cs="Arial"/>
          <w:sz w:val="28"/>
          <w:szCs w:val="28"/>
        </w:rPr>
        <w:t>. Re</w:t>
      </w:r>
      <w:r w:rsidR="00832698">
        <w:rPr>
          <w:rFonts w:ascii="Bookman Old Style" w:eastAsia="Times New Roman" w:hAnsi="Bookman Old Style" w:cs="Arial"/>
          <w:sz w:val="28"/>
          <w:szCs w:val="28"/>
        </w:rPr>
        <w:t>laciona los bienes sociales denunciados en la liquidación de la sociedad conyugal</w:t>
      </w:r>
      <w:r w:rsidR="001947B1">
        <w:rPr>
          <w:rFonts w:ascii="Bookman Old Style" w:eastAsia="Times New Roman" w:hAnsi="Bookman Old Style" w:cs="Arial"/>
          <w:sz w:val="28"/>
          <w:szCs w:val="28"/>
        </w:rPr>
        <w:t>.</w:t>
      </w:r>
      <w:r w:rsidR="00832698">
        <w:rPr>
          <w:rFonts w:ascii="Bookman Old Style" w:eastAsia="Times New Roman" w:hAnsi="Bookman Old Style" w:cs="Arial"/>
          <w:sz w:val="28"/>
          <w:szCs w:val="28"/>
        </w:rPr>
        <w:t xml:space="preserve"> </w:t>
      </w:r>
      <w:r w:rsidR="001947B1">
        <w:rPr>
          <w:rFonts w:ascii="Bookman Old Style" w:eastAsia="Times New Roman" w:hAnsi="Bookman Old Style" w:cs="Arial"/>
          <w:sz w:val="28"/>
          <w:szCs w:val="28"/>
        </w:rPr>
        <w:t>C</w:t>
      </w:r>
      <w:r w:rsidR="00832698">
        <w:rPr>
          <w:rFonts w:ascii="Bookman Old Style" w:eastAsia="Times New Roman" w:hAnsi="Bookman Old Style" w:cs="Arial"/>
          <w:sz w:val="28"/>
          <w:szCs w:val="28"/>
        </w:rPr>
        <w:t>uestiona como irrisorio el valor de veinte millones de pesos ($20.</w:t>
      </w:r>
      <w:r w:rsidR="00C72AFF">
        <w:rPr>
          <w:rFonts w:ascii="Bookman Old Style" w:eastAsia="Times New Roman" w:hAnsi="Bookman Old Style" w:cs="Arial"/>
          <w:sz w:val="28"/>
          <w:szCs w:val="28"/>
        </w:rPr>
        <w:t>000. 000.oo</w:t>
      </w:r>
      <w:r w:rsidR="00832698">
        <w:rPr>
          <w:rFonts w:ascii="Bookman Old Style" w:eastAsia="Times New Roman" w:hAnsi="Bookman Old Style" w:cs="Arial"/>
          <w:sz w:val="28"/>
          <w:szCs w:val="28"/>
        </w:rPr>
        <w:t>) que se asignó</w:t>
      </w:r>
      <w:r w:rsidR="00C260B3">
        <w:rPr>
          <w:rFonts w:ascii="Bookman Old Style" w:eastAsia="Times New Roman" w:hAnsi="Bookman Old Style" w:cs="Arial"/>
          <w:sz w:val="28"/>
          <w:szCs w:val="28"/>
        </w:rPr>
        <w:t xml:space="preserve"> </w:t>
      </w:r>
      <w:r w:rsidR="00126C7D">
        <w:rPr>
          <w:rFonts w:ascii="Bookman Old Style" w:eastAsia="Times New Roman" w:hAnsi="Bookman Old Style" w:cs="Arial"/>
          <w:sz w:val="28"/>
          <w:szCs w:val="28"/>
        </w:rPr>
        <w:t>al avalúo de</w:t>
      </w:r>
      <w:r w:rsidR="00C260B3">
        <w:rPr>
          <w:rFonts w:ascii="Bookman Old Style" w:eastAsia="Times New Roman" w:hAnsi="Bookman Old Style" w:cs="Arial"/>
          <w:sz w:val="28"/>
          <w:szCs w:val="28"/>
        </w:rPr>
        <w:t xml:space="preserve"> la empresa comercial denominada Álvaro Gómez Prada E.U.</w:t>
      </w:r>
      <w:r w:rsidR="001947B1">
        <w:rPr>
          <w:rFonts w:ascii="Bookman Old Style" w:eastAsia="Times New Roman" w:hAnsi="Bookman Old Style" w:cs="Arial"/>
          <w:sz w:val="28"/>
          <w:szCs w:val="28"/>
        </w:rPr>
        <w:t xml:space="preserve"> Se aseguró, por ejemplo,</w:t>
      </w:r>
      <w:r w:rsidR="00C260B3">
        <w:rPr>
          <w:rFonts w:ascii="Bookman Old Style" w:eastAsia="Times New Roman" w:hAnsi="Bookman Old Style" w:cs="Arial"/>
          <w:sz w:val="28"/>
          <w:szCs w:val="28"/>
        </w:rPr>
        <w:t xml:space="preserve"> que el vehículo de placas BVH-409, Mazda 626, modelo 2000, perteneciente a la mencionada empresa</w:t>
      </w:r>
      <w:r w:rsidR="00126C7D">
        <w:rPr>
          <w:rFonts w:ascii="Bookman Old Style" w:eastAsia="Times New Roman" w:hAnsi="Bookman Old Style" w:cs="Arial"/>
          <w:sz w:val="28"/>
          <w:szCs w:val="28"/>
        </w:rPr>
        <w:t>,</w:t>
      </w:r>
      <w:r w:rsidR="00C260B3">
        <w:rPr>
          <w:rFonts w:ascii="Bookman Old Style" w:eastAsia="Times New Roman" w:hAnsi="Bookman Old Style" w:cs="Arial"/>
          <w:sz w:val="28"/>
          <w:szCs w:val="28"/>
        </w:rPr>
        <w:t xml:space="preserve"> valía $59.</w:t>
      </w:r>
      <w:r w:rsidR="007A6D81">
        <w:rPr>
          <w:rFonts w:ascii="Bookman Old Style" w:eastAsia="Times New Roman" w:hAnsi="Bookman Old Style" w:cs="Arial"/>
          <w:sz w:val="28"/>
          <w:szCs w:val="28"/>
        </w:rPr>
        <w:t>000. 000.oo</w:t>
      </w:r>
      <w:r w:rsidR="00126C7D">
        <w:rPr>
          <w:rFonts w:ascii="Bookman Old Style" w:eastAsia="Times New Roman" w:hAnsi="Bookman Old Style" w:cs="Arial"/>
          <w:sz w:val="28"/>
          <w:szCs w:val="28"/>
        </w:rPr>
        <w:t>.</w:t>
      </w:r>
    </w:p>
    <w:p w14:paraId="4EC0ECBF" w14:textId="77777777" w:rsidR="00B74FA4" w:rsidRDefault="00B74FA4" w:rsidP="00B74FA4">
      <w:pPr>
        <w:spacing w:line="360" w:lineRule="auto"/>
        <w:ind w:firstLine="709"/>
        <w:jc w:val="both"/>
        <w:rPr>
          <w:rFonts w:ascii="Bookman Old Style" w:eastAsia="Times New Roman" w:hAnsi="Bookman Old Style" w:cs="Arial"/>
          <w:sz w:val="28"/>
          <w:szCs w:val="28"/>
        </w:rPr>
      </w:pPr>
    </w:p>
    <w:p w14:paraId="5A474DE0" w14:textId="77777777" w:rsidR="00B74FA4" w:rsidRDefault="00333B5C" w:rsidP="00B74FA4">
      <w:pPr>
        <w:spacing w:line="360" w:lineRule="auto"/>
        <w:ind w:firstLine="709"/>
        <w:jc w:val="both"/>
        <w:rPr>
          <w:rFonts w:ascii="Bookman Old Style" w:eastAsia="Times New Roman" w:hAnsi="Bookman Old Style" w:cs="Arial"/>
          <w:sz w:val="28"/>
          <w:szCs w:val="28"/>
        </w:rPr>
      </w:pPr>
      <w:r>
        <w:rPr>
          <w:rFonts w:ascii="Bookman Old Style" w:eastAsia="Times New Roman" w:hAnsi="Bookman Old Style" w:cs="Arial"/>
          <w:sz w:val="28"/>
          <w:szCs w:val="28"/>
        </w:rPr>
        <w:t>9</w:t>
      </w:r>
      <w:r w:rsidR="00B74FA4">
        <w:rPr>
          <w:rFonts w:ascii="Bookman Old Style" w:eastAsia="Times New Roman" w:hAnsi="Bookman Old Style" w:cs="Arial"/>
          <w:sz w:val="28"/>
          <w:szCs w:val="28"/>
        </w:rPr>
        <w:t xml:space="preserve">. </w:t>
      </w:r>
      <w:r w:rsidR="00835F39">
        <w:rPr>
          <w:rFonts w:ascii="Bookman Old Style" w:eastAsia="Times New Roman" w:hAnsi="Bookman Old Style" w:cs="Arial"/>
          <w:sz w:val="28"/>
          <w:szCs w:val="28"/>
        </w:rPr>
        <w:t xml:space="preserve">La demandada Mary Hernández </w:t>
      </w:r>
      <w:r w:rsidR="006D1A42">
        <w:rPr>
          <w:rFonts w:ascii="Bookman Old Style" w:eastAsia="Times New Roman" w:hAnsi="Bookman Old Style" w:cs="Arial"/>
          <w:sz w:val="28"/>
          <w:szCs w:val="28"/>
        </w:rPr>
        <w:t>d</w:t>
      </w:r>
      <w:r w:rsidR="00835F39">
        <w:rPr>
          <w:rFonts w:ascii="Bookman Old Style" w:eastAsia="Times New Roman" w:hAnsi="Bookman Old Style" w:cs="Arial"/>
          <w:sz w:val="28"/>
          <w:szCs w:val="28"/>
        </w:rPr>
        <w:t>e Gómez debe responder y rembolsar junto con los frutos civiles y naturales dejados de percibir</w:t>
      </w:r>
      <w:r w:rsidR="001947B1">
        <w:rPr>
          <w:rFonts w:ascii="Bookman Old Style" w:eastAsia="Times New Roman" w:hAnsi="Bookman Old Style" w:cs="Arial"/>
          <w:sz w:val="28"/>
          <w:szCs w:val="28"/>
        </w:rPr>
        <w:t xml:space="preserve">. </w:t>
      </w:r>
      <w:r w:rsidR="00625CBF">
        <w:rPr>
          <w:rFonts w:ascii="Bookman Old Style" w:eastAsia="Times New Roman" w:hAnsi="Bookman Old Style" w:cs="Arial"/>
          <w:sz w:val="28"/>
          <w:szCs w:val="28"/>
        </w:rPr>
        <w:t>A</w:t>
      </w:r>
      <w:r w:rsidR="00835F39">
        <w:rPr>
          <w:rFonts w:ascii="Bookman Old Style" w:eastAsia="Times New Roman" w:hAnsi="Bookman Old Style" w:cs="Arial"/>
          <w:sz w:val="28"/>
          <w:szCs w:val="28"/>
        </w:rPr>
        <w:t xml:space="preserve">demás, </w:t>
      </w:r>
      <w:r w:rsidR="001947B1">
        <w:rPr>
          <w:rFonts w:ascii="Bookman Old Style" w:eastAsia="Times New Roman" w:hAnsi="Bookman Old Style" w:cs="Arial"/>
          <w:sz w:val="28"/>
          <w:szCs w:val="28"/>
        </w:rPr>
        <w:t>debe perder</w:t>
      </w:r>
      <w:r w:rsidR="00835F39">
        <w:rPr>
          <w:rFonts w:ascii="Bookman Old Style" w:eastAsia="Times New Roman" w:hAnsi="Bookman Old Style" w:cs="Arial"/>
          <w:sz w:val="28"/>
          <w:szCs w:val="28"/>
        </w:rPr>
        <w:t xml:space="preserve"> como sanción por ocultamiento de bienes y movimientos fraudulentos, los derechos que tuviere sobre las especies o bienes, restituyéndolos doblados.</w:t>
      </w:r>
    </w:p>
    <w:p w14:paraId="7C837931" w14:textId="77777777" w:rsidR="00B74FA4" w:rsidRDefault="00B74FA4" w:rsidP="00B74FA4">
      <w:pPr>
        <w:spacing w:line="360" w:lineRule="auto"/>
        <w:ind w:firstLine="709"/>
        <w:jc w:val="both"/>
        <w:rPr>
          <w:rFonts w:ascii="Bookman Old Style" w:eastAsia="Times New Roman" w:hAnsi="Bookman Old Style" w:cs="Arial"/>
          <w:sz w:val="28"/>
          <w:szCs w:val="28"/>
        </w:rPr>
      </w:pPr>
    </w:p>
    <w:p w14:paraId="5ACD3F71" w14:textId="77777777" w:rsidR="00B74FA4" w:rsidRDefault="00B74FA4" w:rsidP="00B74FA4">
      <w:pPr>
        <w:spacing w:line="360" w:lineRule="auto"/>
        <w:ind w:firstLine="709"/>
        <w:jc w:val="both"/>
        <w:rPr>
          <w:rFonts w:ascii="Bookman Old Style" w:eastAsia="Times New Roman" w:hAnsi="Bookman Old Style" w:cs="Arial"/>
          <w:sz w:val="28"/>
          <w:szCs w:val="28"/>
        </w:rPr>
      </w:pPr>
      <w:r>
        <w:rPr>
          <w:rFonts w:ascii="Bookman Old Style" w:eastAsia="Times New Roman" w:hAnsi="Bookman Old Style" w:cs="Arial"/>
          <w:sz w:val="28"/>
          <w:szCs w:val="28"/>
        </w:rPr>
        <w:t>1</w:t>
      </w:r>
      <w:r w:rsidR="00FF63E4">
        <w:rPr>
          <w:rFonts w:ascii="Bookman Old Style" w:eastAsia="Times New Roman" w:hAnsi="Bookman Old Style" w:cs="Arial"/>
          <w:sz w:val="28"/>
          <w:szCs w:val="28"/>
        </w:rPr>
        <w:t>0</w:t>
      </w:r>
      <w:r>
        <w:rPr>
          <w:rFonts w:ascii="Bookman Old Style" w:eastAsia="Times New Roman" w:hAnsi="Bookman Old Style" w:cs="Arial"/>
          <w:sz w:val="28"/>
          <w:szCs w:val="28"/>
        </w:rPr>
        <w:t xml:space="preserve">. </w:t>
      </w:r>
      <w:r w:rsidR="00895BDD">
        <w:rPr>
          <w:rFonts w:ascii="Bookman Old Style" w:eastAsia="Times New Roman" w:hAnsi="Bookman Old Style" w:cs="Arial"/>
          <w:sz w:val="28"/>
          <w:szCs w:val="28"/>
        </w:rPr>
        <w:t>La Fiscalía General de la Nación conoc</w:t>
      </w:r>
      <w:r w:rsidR="001947B1">
        <w:rPr>
          <w:rFonts w:ascii="Bookman Old Style" w:eastAsia="Times New Roman" w:hAnsi="Bookman Old Style" w:cs="Arial"/>
          <w:sz w:val="28"/>
          <w:szCs w:val="28"/>
        </w:rPr>
        <w:t>ió</w:t>
      </w:r>
      <w:r w:rsidR="00895BDD">
        <w:rPr>
          <w:rFonts w:ascii="Bookman Old Style" w:eastAsia="Times New Roman" w:hAnsi="Bookman Old Style" w:cs="Arial"/>
          <w:sz w:val="28"/>
          <w:szCs w:val="28"/>
        </w:rPr>
        <w:t xml:space="preserve"> de la denuncia formulada por el accionante, radicado No. 259236, contra la demandada por falsedad y fraude procesal, a través de la Fiscalía 23 Seccional de </w:t>
      </w:r>
      <w:r w:rsidR="001947B1">
        <w:rPr>
          <w:rFonts w:ascii="Bookman Old Style" w:eastAsia="Times New Roman" w:hAnsi="Bookman Old Style" w:cs="Arial"/>
          <w:sz w:val="28"/>
          <w:szCs w:val="28"/>
        </w:rPr>
        <w:t>Bucaramanga</w:t>
      </w:r>
      <w:r w:rsidR="00895BDD">
        <w:rPr>
          <w:rFonts w:ascii="Bookman Old Style" w:eastAsia="Times New Roman" w:hAnsi="Bookman Old Style" w:cs="Arial"/>
          <w:sz w:val="28"/>
          <w:szCs w:val="28"/>
        </w:rPr>
        <w:t>.</w:t>
      </w:r>
    </w:p>
    <w:p w14:paraId="0F07A899" w14:textId="77777777" w:rsidR="00B74FA4" w:rsidRDefault="00B74FA4" w:rsidP="00B74FA4">
      <w:pPr>
        <w:spacing w:line="360" w:lineRule="auto"/>
        <w:ind w:firstLine="709"/>
        <w:jc w:val="both"/>
        <w:rPr>
          <w:rFonts w:ascii="Bookman Old Style" w:eastAsia="Times New Roman" w:hAnsi="Bookman Old Style" w:cs="Arial"/>
          <w:sz w:val="28"/>
          <w:szCs w:val="28"/>
        </w:rPr>
      </w:pPr>
    </w:p>
    <w:p w14:paraId="33DBA131" w14:textId="77777777" w:rsidR="00B74FA4" w:rsidRPr="001E734D" w:rsidRDefault="00B74FA4" w:rsidP="00B74FA4">
      <w:pPr>
        <w:spacing w:line="360" w:lineRule="auto"/>
        <w:ind w:firstLine="709"/>
        <w:jc w:val="both"/>
        <w:rPr>
          <w:rFonts w:ascii="Bookman Old Style" w:eastAsia="Times New Roman" w:hAnsi="Bookman Old Style" w:cs="Arial"/>
          <w:i/>
          <w:sz w:val="24"/>
          <w:szCs w:val="24"/>
        </w:rPr>
      </w:pPr>
      <w:r>
        <w:rPr>
          <w:rFonts w:ascii="Bookman Old Style" w:eastAsia="Times New Roman" w:hAnsi="Bookman Old Style" w:cs="Arial"/>
          <w:sz w:val="28"/>
          <w:szCs w:val="28"/>
        </w:rPr>
        <w:lastRenderedPageBreak/>
        <w:t>Con fundamento en el anterior marco factual</w:t>
      </w:r>
      <w:r w:rsidRPr="003F010A">
        <w:rPr>
          <w:rFonts w:ascii="Bookman Old Style" w:eastAsia="Times New Roman" w:hAnsi="Bookman Old Style" w:cs="Arial"/>
          <w:sz w:val="28"/>
          <w:szCs w:val="28"/>
        </w:rPr>
        <w:t xml:space="preserve">, </w:t>
      </w:r>
      <w:r w:rsidR="001E734D">
        <w:rPr>
          <w:rFonts w:ascii="Bookman Old Style" w:eastAsia="Times New Roman" w:hAnsi="Bookman Old Style" w:cs="Arial"/>
          <w:sz w:val="28"/>
          <w:szCs w:val="28"/>
        </w:rPr>
        <w:t>e</w:t>
      </w:r>
      <w:r w:rsidRPr="003F010A">
        <w:rPr>
          <w:rFonts w:ascii="Bookman Old Style" w:eastAsia="Times New Roman" w:hAnsi="Bookman Old Style" w:cs="Arial"/>
          <w:sz w:val="28"/>
          <w:szCs w:val="28"/>
        </w:rPr>
        <w:t xml:space="preserve">l accionante </w:t>
      </w:r>
      <w:r>
        <w:rPr>
          <w:rFonts w:ascii="Bookman Old Style" w:eastAsia="Times New Roman" w:hAnsi="Bookman Old Style" w:cs="Arial"/>
          <w:sz w:val="28"/>
          <w:szCs w:val="28"/>
        </w:rPr>
        <w:t xml:space="preserve">peticionó como pretensión principal </w:t>
      </w:r>
      <w:r w:rsidR="001E734D">
        <w:rPr>
          <w:rFonts w:ascii="Bookman Old Style" w:eastAsia="Times New Roman" w:hAnsi="Bookman Old Style" w:cs="Arial"/>
          <w:sz w:val="28"/>
          <w:szCs w:val="28"/>
        </w:rPr>
        <w:t>«</w:t>
      </w:r>
      <w:r w:rsidR="001E734D">
        <w:rPr>
          <w:rFonts w:ascii="Bookman Old Style" w:eastAsia="Times New Roman" w:hAnsi="Bookman Old Style" w:cs="Arial"/>
          <w:i/>
          <w:sz w:val="24"/>
          <w:szCs w:val="24"/>
        </w:rPr>
        <w:t>[d]eclarar que la escritura pública 971 otorgada</w:t>
      </w:r>
      <w:r w:rsidR="00192CBA">
        <w:rPr>
          <w:rFonts w:ascii="Bookman Old Style" w:eastAsia="Times New Roman" w:hAnsi="Bookman Old Style" w:cs="Arial"/>
          <w:i/>
          <w:sz w:val="24"/>
          <w:szCs w:val="24"/>
        </w:rPr>
        <w:t xml:space="preserve"> el 12 de mayo de 2004 en la Notaría Décima de Bucaramanga, que contiene la Liquidación de la Sociedad Conyugal</w:t>
      </w:r>
      <w:r w:rsidR="00832562">
        <w:rPr>
          <w:rFonts w:ascii="Bookman Old Style" w:eastAsia="Times New Roman" w:hAnsi="Bookman Old Style" w:cs="Arial"/>
          <w:i/>
          <w:sz w:val="24"/>
          <w:szCs w:val="24"/>
        </w:rPr>
        <w:t xml:space="preserve"> entre MARY HERNÁNDEZ DE GÓMEZ Y ÁLVARO GÓMEZ PRADA es </w:t>
      </w:r>
      <w:r w:rsidR="00832562">
        <w:rPr>
          <w:rFonts w:ascii="Bookman Old Style" w:eastAsia="Times New Roman" w:hAnsi="Bookman Old Style" w:cs="Arial"/>
          <w:b/>
          <w:i/>
          <w:sz w:val="24"/>
          <w:szCs w:val="24"/>
        </w:rPr>
        <w:t xml:space="preserve">INOPONIBLE </w:t>
      </w:r>
      <w:r w:rsidR="00832562">
        <w:rPr>
          <w:rFonts w:ascii="Bookman Old Style" w:eastAsia="Times New Roman" w:hAnsi="Bookman Old Style" w:cs="Arial"/>
          <w:i/>
          <w:sz w:val="24"/>
          <w:szCs w:val="24"/>
        </w:rPr>
        <w:t>a los herederos del finado ÁLVARO GÓMEZ PRADA, por tratarse de terceros que indirectamente quedaron sin posibilidades jurídicas y económicas de tener acceso a la masa herencial o gananciales del señor ÁLVARO GÓMEZ PRADA, por tanto dicho acto jurídico y su consecuente renuncia hecha en la escritura pública no afecta a [sus] herederos, quienes tienen derecho a heredarlo».</w:t>
      </w:r>
    </w:p>
    <w:p w14:paraId="0BC3A3B4" w14:textId="77777777" w:rsidR="00B74FA4" w:rsidRDefault="00B74FA4" w:rsidP="00B74FA4">
      <w:pPr>
        <w:spacing w:line="360" w:lineRule="auto"/>
        <w:ind w:firstLine="709"/>
        <w:jc w:val="both"/>
        <w:rPr>
          <w:rFonts w:ascii="Bookman Old Style" w:eastAsia="Times New Roman" w:hAnsi="Bookman Old Style" w:cs="Arial"/>
          <w:sz w:val="28"/>
          <w:szCs w:val="28"/>
        </w:rPr>
      </w:pPr>
    </w:p>
    <w:p w14:paraId="6B6BEE21" w14:textId="77777777" w:rsidR="00B74FA4" w:rsidRDefault="00B74FA4" w:rsidP="00B74FA4">
      <w:pPr>
        <w:spacing w:line="360" w:lineRule="auto"/>
        <w:ind w:firstLine="709"/>
        <w:jc w:val="both"/>
        <w:rPr>
          <w:rFonts w:ascii="Bookman Old Style" w:eastAsia="Times New Roman" w:hAnsi="Bookman Old Style" w:cs="Arial"/>
          <w:sz w:val="28"/>
          <w:szCs w:val="28"/>
        </w:rPr>
      </w:pPr>
      <w:r>
        <w:rPr>
          <w:rFonts w:ascii="Bookman Old Style" w:eastAsia="Times New Roman" w:hAnsi="Bookman Old Style" w:cs="Arial"/>
          <w:sz w:val="28"/>
          <w:szCs w:val="28"/>
        </w:rPr>
        <w:t xml:space="preserve">Como pretensión </w:t>
      </w:r>
      <w:r w:rsidR="00EA37F3">
        <w:rPr>
          <w:rFonts w:ascii="Bookman Old Style" w:eastAsia="Times New Roman" w:hAnsi="Bookman Old Style" w:cs="Arial"/>
          <w:sz w:val="28"/>
          <w:szCs w:val="28"/>
        </w:rPr>
        <w:t>consecuencial</w:t>
      </w:r>
      <w:r w:rsidR="000C5F2F">
        <w:rPr>
          <w:rFonts w:ascii="Bookman Old Style" w:eastAsia="Times New Roman" w:hAnsi="Bookman Old Style" w:cs="Arial"/>
          <w:sz w:val="28"/>
          <w:szCs w:val="28"/>
        </w:rPr>
        <w:t>,</w:t>
      </w:r>
      <w:r w:rsidR="00EA37F3">
        <w:rPr>
          <w:rFonts w:ascii="Bookman Old Style" w:eastAsia="Times New Roman" w:hAnsi="Bookman Old Style" w:cs="Arial"/>
          <w:sz w:val="28"/>
          <w:szCs w:val="28"/>
        </w:rPr>
        <w:t xml:space="preserve"> que «</w:t>
      </w:r>
      <w:r w:rsidR="00EA37F3">
        <w:rPr>
          <w:rFonts w:ascii="Bookman Old Style" w:eastAsia="Times New Roman" w:hAnsi="Bookman Old Style" w:cs="Arial"/>
          <w:i/>
          <w:sz w:val="24"/>
          <w:szCs w:val="24"/>
        </w:rPr>
        <w:t>de conformidad con el artículo 1824 del C.C., teniendo en cuenta que la aquí demandada dolosamente ocultó bienes y movimientos pertenecientes a la Sociedad Conyugal conformada entre MARY HERNÁNDEZ DE GÓMEZ Y ÁLVARO GÓMEZ PRADA, se condene a que MARY HERNÁNDEZ DE GÓMEZ pierda su porción en las mismas cosas y bienes que ocultó, y a que hubiere tenido derecho; restituyéndolas dobladas, junto con los frutos civiles y naturales con su correspondiente corrección monetaria</w:t>
      </w:r>
      <w:r w:rsidR="00C12AA5">
        <w:rPr>
          <w:rFonts w:ascii="Bookman Old Style" w:eastAsia="Times New Roman" w:hAnsi="Bookman Old Style" w:cs="Arial"/>
          <w:i/>
          <w:sz w:val="24"/>
          <w:szCs w:val="24"/>
        </w:rPr>
        <w:t xml:space="preserve"> o actualización certificada por el DANE, para la variación del índice de precios al consumidor, causados desde el mes de mayo de 2004 hasta el día de la restitución efectiva». </w:t>
      </w:r>
      <w:r>
        <w:rPr>
          <w:rFonts w:ascii="Bookman Old Style" w:eastAsia="Times New Roman" w:hAnsi="Bookman Old Style" w:cs="Arial"/>
          <w:sz w:val="28"/>
          <w:szCs w:val="28"/>
        </w:rPr>
        <w:t xml:space="preserve"> </w:t>
      </w:r>
    </w:p>
    <w:p w14:paraId="269B5B9B" w14:textId="77777777" w:rsidR="00B74FA4" w:rsidRDefault="00B74FA4" w:rsidP="00B74FA4">
      <w:pPr>
        <w:spacing w:line="360" w:lineRule="auto"/>
        <w:ind w:firstLine="709"/>
        <w:jc w:val="both"/>
        <w:rPr>
          <w:rFonts w:ascii="Bookman Old Style" w:eastAsia="Times New Roman" w:hAnsi="Bookman Old Style" w:cs="Arial"/>
          <w:sz w:val="28"/>
          <w:szCs w:val="28"/>
        </w:rPr>
      </w:pPr>
    </w:p>
    <w:p w14:paraId="31160747" w14:textId="77777777" w:rsidR="00B74FA4" w:rsidRDefault="009302B7" w:rsidP="004624B5">
      <w:pPr>
        <w:spacing w:line="360" w:lineRule="auto"/>
        <w:ind w:firstLine="709"/>
        <w:jc w:val="both"/>
        <w:rPr>
          <w:rFonts w:ascii="Bookman Old Style" w:eastAsia="Times New Roman" w:hAnsi="Bookman Old Style" w:cs="Arial"/>
          <w:sz w:val="28"/>
          <w:szCs w:val="28"/>
        </w:rPr>
      </w:pPr>
      <w:r>
        <w:rPr>
          <w:rFonts w:ascii="Bookman Old Style" w:eastAsia="Times New Roman" w:hAnsi="Bookman Old Style" w:cs="Arial"/>
          <w:sz w:val="28"/>
          <w:szCs w:val="28"/>
        </w:rPr>
        <w:t xml:space="preserve">11. </w:t>
      </w:r>
      <w:r w:rsidR="00B74FA4" w:rsidRPr="00575865">
        <w:rPr>
          <w:rFonts w:ascii="Bookman Old Style" w:eastAsia="Times New Roman" w:hAnsi="Bookman Old Style" w:cs="Arial"/>
          <w:sz w:val="28"/>
          <w:szCs w:val="28"/>
        </w:rPr>
        <w:t xml:space="preserve">El libelo fue admitido el </w:t>
      </w:r>
      <w:r w:rsidR="004624B5">
        <w:rPr>
          <w:rFonts w:ascii="Bookman Old Style" w:eastAsia="Times New Roman" w:hAnsi="Bookman Old Style" w:cs="Arial"/>
          <w:sz w:val="28"/>
          <w:szCs w:val="28"/>
        </w:rPr>
        <w:t xml:space="preserve">17 </w:t>
      </w:r>
      <w:r w:rsidR="00B74FA4" w:rsidRPr="00575865">
        <w:rPr>
          <w:rFonts w:ascii="Bookman Old Style" w:eastAsia="Times New Roman" w:hAnsi="Bookman Old Style" w:cs="Arial"/>
          <w:sz w:val="28"/>
          <w:szCs w:val="28"/>
        </w:rPr>
        <w:t xml:space="preserve">de </w:t>
      </w:r>
      <w:r w:rsidR="004624B5">
        <w:rPr>
          <w:rFonts w:ascii="Bookman Old Style" w:eastAsia="Times New Roman" w:hAnsi="Bookman Old Style" w:cs="Arial"/>
          <w:sz w:val="28"/>
          <w:szCs w:val="28"/>
        </w:rPr>
        <w:t>juli</w:t>
      </w:r>
      <w:r w:rsidR="00B74FA4" w:rsidRPr="00575865">
        <w:rPr>
          <w:rFonts w:ascii="Bookman Old Style" w:eastAsia="Times New Roman" w:hAnsi="Bookman Old Style" w:cs="Arial"/>
          <w:sz w:val="28"/>
          <w:szCs w:val="28"/>
        </w:rPr>
        <w:t>o de 200</w:t>
      </w:r>
      <w:r w:rsidR="004624B5">
        <w:rPr>
          <w:rFonts w:ascii="Bookman Old Style" w:eastAsia="Times New Roman" w:hAnsi="Bookman Old Style" w:cs="Arial"/>
          <w:sz w:val="28"/>
          <w:szCs w:val="28"/>
        </w:rPr>
        <w:t>6</w:t>
      </w:r>
      <w:r w:rsidR="000C5F2F">
        <w:rPr>
          <w:rFonts w:ascii="Bookman Old Style" w:eastAsia="Times New Roman" w:hAnsi="Bookman Old Style" w:cs="Arial"/>
          <w:sz w:val="28"/>
          <w:szCs w:val="28"/>
        </w:rPr>
        <w:t>.</w:t>
      </w:r>
      <w:r w:rsidR="00B74FA4" w:rsidRPr="00575865">
        <w:rPr>
          <w:rFonts w:ascii="Bookman Old Style" w:eastAsia="Times New Roman" w:hAnsi="Bookman Old Style" w:cs="Arial"/>
          <w:sz w:val="28"/>
          <w:szCs w:val="28"/>
        </w:rPr>
        <w:t xml:space="preserve"> </w:t>
      </w:r>
      <w:r w:rsidR="000C5F2F">
        <w:rPr>
          <w:rFonts w:ascii="Bookman Old Style" w:eastAsia="Times New Roman" w:hAnsi="Bookman Old Style" w:cs="Arial"/>
          <w:sz w:val="28"/>
          <w:szCs w:val="28"/>
        </w:rPr>
        <w:t>S</w:t>
      </w:r>
      <w:r w:rsidR="00B74FA4" w:rsidRPr="00575865">
        <w:rPr>
          <w:rFonts w:ascii="Bookman Old Style" w:eastAsia="Times New Roman" w:hAnsi="Bookman Old Style" w:cs="Arial"/>
          <w:sz w:val="28"/>
          <w:szCs w:val="28"/>
        </w:rPr>
        <w:t>e le</w:t>
      </w:r>
      <w:r w:rsidR="00B74FA4">
        <w:rPr>
          <w:rFonts w:ascii="Bookman Old Style" w:eastAsia="Times New Roman" w:hAnsi="Bookman Old Style" w:cs="Arial"/>
          <w:sz w:val="28"/>
          <w:szCs w:val="28"/>
        </w:rPr>
        <w:t xml:space="preserve"> imprimió el trámite del proceso ordinario</w:t>
      </w:r>
      <w:r w:rsidR="000C5F2F">
        <w:rPr>
          <w:rFonts w:ascii="Bookman Old Style" w:eastAsia="Times New Roman" w:hAnsi="Bookman Old Style" w:cs="Arial"/>
          <w:sz w:val="28"/>
          <w:szCs w:val="28"/>
        </w:rPr>
        <w:t>.</w:t>
      </w:r>
      <w:r w:rsidR="00B74FA4">
        <w:rPr>
          <w:rFonts w:ascii="Bookman Old Style" w:eastAsia="Times New Roman" w:hAnsi="Bookman Old Style" w:cs="Arial"/>
          <w:sz w:val="28"/>
          <w:szCs w:val="28"/>
        </w:rPr>
        <w:t xml:space="preserve"> </w:t>
      </w:r>
      <w:r w:rsidR="000C5F2F">
        <w:rPr>
          <w:rFonts w:ascii="Bookman Old Style" w:eastAsia="Times New Roman" w:hAnsi="Bookman Old Style" w:cs="Arial"/>
          <w:sz w:val="28"/>
          <w:szCs w:val="28"/>
        </w:rPr>
        <w:t>Y s</w:t>
      </w:r>
      <w:r w:rsidR="00B74FA4">
        <w:rPr>
          <w:rFonts w:ascii="Bookman Old Style" w:eastAsia="Times New Roman" w:hAnsi="Bookman Old Style" w:cs="Arial"/>
          <w:sz w:val="28"/>
          <w:szCs w:val="28"/>
        </w:rPr>
        <w:t xml:space="preserve">e dispuso </w:t>
      </w:r>
      <w:r w:rsidR="004624B5">
        <w:rPr>
          <w:rFonts w:ascii="Bookman Old Style" w:eastAsia="Times New Roman" w:hAnsi="Bookman Old Style" w:cs="Arial"/>
          <w:sz w:val="28"/>
          <w:szCs w:val="28"/>
        </w:rPr>
        <w:t xml:space="preserve">el secuestro del establecimiento de comercio denominado </w:t>
      </w:r>
      <w:r w:rsidR="004624B5" w:rsidRPr="000C5F2F">
        <w:rPr>
          <w:rFonts w:ascii="Bookman Old Style" w:eastAsia="Times New Roman" w:hAnsi="Bookman Old Style" w:cs="Arial"/>
          <w:i/>
          <w:iCs/>
          <w:sz w:val="28"/>
          <w:szCs w:val="28"/>
        </w:rPr>
        <w:t>Estación de Servicios San Gabriel</w:t>
      </w:r>
      <w:r w:rsidR="00B74FA4">
        <w:rPr>
          <w:rFonts w:ascii="Bookman Old Style" w:eastAsia="Times New Roman" w:hAnsi="Bookman Old Style" w:cs="Arial"/>
          <w:sz w:val="28"/>
          <w:szCs w:val="28"/>
        </w:rPr>
        <w:t>.</w:t>
      </w:r>
    </w:p>
    <w:p w14:paraId="3521EA96" w14:textId="77777777" w:rsidR="00B74FA4" w:rsidRDefault="00B74FA4" w:rsidP="00B74FA4">
      <w:pPr>
        <w:spacing w:line="360" w:lineRule="auto"/>
        <w:ind w:firstLine="709"/>
        <w:jc w:val="both"/>
        <w:rPr>
          <w:rFonts w:ascii="Bookman Old Style" w:eastAsia="Times New Roman" w:hAnsi="Bookman Old Style" w:cs="Arial"/>
          <w:sz w:val="28"/>
          <w:szCs w:val="28"/>
        </w:rPr>
      </w:pPr>
    </w:p>
    <w:p w14:paraId="71315461" w14:textId="77777777" w:rsidR="00B74FA4" w:rsidRDefault="00B74FA4" w:rsidP="00B74FA4">
      <w:pPr>
        <w:spacing w:line="360" w:lineRule="auto"/>
        <w:ind w:firstLine="709"/>
        <w:jc w:val="both"/>
        <w:rPr>
          <w:rFonts w:ascii="Bookman Old Style" w:eastAsia="Times New Roman" w:hAnsi="Bookman Old Style" w:cs="Arial"/>
          <w:sz w:val="28"/>
          <w:szCs w:val="28"/>
        </w:rPr>
      </w:pPr>
      <w:r>
        <w:rPr>
          <w:rFonts w:ascii="Bookman Old Style" w:eastAsia="Times New Roman" w:hAnsi="Bookman Old Style" w:cs="Arial"/>
          <w:sz w:val="28"/>
          <w:szCs w:val="28"/>
        </w:rPr>
        <w:t>L</w:t>
      </w:r>
      <w:r w:rsidR="00522D44">
        <w:rPr>
          <w:rFonts w:ascii="Bookman Old Style" w:eastAsia="Times New Roman" w:hAnsi="Bookman Old Style" w:cs="Arial"/>
          <w:sz w:val="28"/>
          <w:szCs w:val="28"/>
        </w:rPr>
        <w:t>a</w:t>
      </w:r>
      <w:r>
        <w:rPr>
          <w:rFonts w:ascii="Bookman Old Style" w:eastAsia="Times New Roman" w:hAnsi="Bookman Old Style" w:cs="Arial"/>
          <w:sz w:val="28"/>
          <w:szCs w:val="28"/>
        </w:rPr>
        <w:t xml:space="preserve"> demandad</w:t>
      </w:r>
      <w:r w:rsidR="00A71C2F">
        <w:rPr>
          <w:rFonts w:ascii="Bookman Old Style" w:eastAsia="Times New Roman" w:hAnsi="Bookman Old Style" w:cs="Arial"/>
          <w:sz w:val="28"/>
          <w:szCs w:val="28"/>
        </w:rPr>
        <w:t>a</w:t>
      </w:r>
      <w:r w:rsidR="00522D44">
        <w:rPr>
          <w:rFonts w:ascii="Bookman Old Style" w:eastAsia="Times New Roman" w:hAnsi="Bookman Old Style" w:cs="Arial"/>
          <w:sz w:val="28"/>
          <w:szCs w:val="28"/>
        </w:rPr>
        <w:t xml:space="preserve"> Mary Hernández </w:t>
      </w:r>
      <w:r w:rsidR="006D1A42">
        <w:rPr>
          <w:rFonts w:ascii="Bookman Old Style" w:eastAsia="Times New Roman" w:hAnsi="Bookman Old Style" w:cs="Arial"/>
          <w:sz w:val="28"/>
          <w:szCs w:val="28"/>
        </w:rPr>
        <w:t>d</w:t>
      </w:r>
      <w:r w:rsidR="00522D44">
        <w:rPr>
          <w:rFonts w:ascii="Bookman Old Style" w:eastAsia="Times New Roman" w:hAnsi="Bookman Old Style" w:cs="Arial"/>
          <w:sz w:val="28"/>
          <w:szCs w:val="28"/>
        </w:rPr>
        <w:t>e Gómez se notificó del auto admisorio de la demanda por intermedio de su procurador judicial</w:t>
      </w:r>
      <w:r w:rsidR="000C5F2F">
        <w:rPr>
          <w:rFonts w:ascii="Bookman Old Style" w:eastAsia="Times New Roman" w:hAnsi="Bookman Old Style" w:cs="Arial"/>
          <w:sz w:val="28"/>
          <w:szCs w:val="28"/>
        </w:rPr>
        <w:t>.</w:t>
      </w:r>
      <w:r w:rsidR="00522D44">
        <w:rPr>
          <w:rFonts w:ascii="Bookman Old Style" w:eastAsia="Times New Roman" w:hAnsi="Bookman Old Style" w:cs="Arial"/>
          <w:sz w:val="28"/>
          <w:szCs w:val="28"/>
        </w:rPr>
        <w:t xml:space="preserve"> </w:t>
      </w:r>
      <w:r w:rsidR="000C5F2F">
        <w:rPr>
          <w:rFonts w:ascii="Bookman Old Style" w:eastAsia="Times New Roman" w:hAnsi="Bookman Old Style" w:cs="Arial"/>
          <w:sz w:val="28"/>
          <w:szCs w:val="28"/>
        </w:rPr>
        <w:t>A</w:t>
      </w:r>
      <w:r w:rsidR="00522D44">
        <w:rPr>
          <w:rFonts w:ascii="Bookman Old Style" w:eastAsia="Times New Roman" w:hAnsi="Bookman Old Style" w:cs="Arial"/>
          <w:sz w:val="28"/>
          <w:szCs w:val="28"/>
        </w:rPr>
        <w:t>dmiti</w:t>
      </w:r>
      <w:r w:rsidR="00E8028D">
        <w:rPr>
          <w:rFonts w:ascii="Bookman Old Style" w:eastAsia="Times New Roman" w:hAnsi="Bookman Old Style" w:cs="Arial"/>
          <w:sz w:val="28"/>
          <w:szCs w:val="28"/>
        </w:rPr>
        <w:t>ó</w:t>
      </w:r>
      <w:r w:rsidR="00522D44">
        <w:rPr>
          <w:rFonts w:ascii="Bookman Old Style" w:eastAsia="Times New Roman" w:hAnsi="Bookman Old Style" w:cs="Arial"/>
          <w:sz w:val="28"/>
          <w:szCs w:val="28"/>
        </w:rPr>
        <w:t xml:space="preserve"> unos hechos</w:t>
      </w:r>
      <w:r w:rsidR="00CC4C91">
        <w:rPr>
          <w:rFonts w:ascii="Bookman Old Style" w:eastAsia="Times New Roman" w:hAnsi="Bookman Old Style" w:cs="Arial"/>
          <w:sz w:val="28"/>
          <w:szCs w:val="28"/>
        </w:rPr>
        <w:t xml:space="preserve"> y</w:t>
      </w:r>
      <w:r w:rsidR="00E0352D">
        <w:rPr>
          <w:rFonts w:ascii="Bookman Old Style" w:eastAsia="Times New Roman" w:hAnsi="Bookman Old Style" w:cs="Arial"/>
          <w:sz w:val="28"/>
          <w:szCs w:val="28"/>
        </w:rPr>
        <w:t xml:space="preserve"> neg</w:t>
      </w:r>
      <w:r w:rsidR="00E8028D">
        <w:rPr>
          <w:rFonts w:ascii="Bookman Old Style" w:eastAsia="Times New Roman" w:hAnsi="Bookman Old Style" w:cs="Arial"/>
          <w:sz w:val="28"/>
          <w:szCs w:val="28"/>
        </w:rPr>
        <w:t>ó</w:t>
      </w:r>
      <w:r w:rsidR="00E0352D">
        <w:rPr>
          <w:rFonts w:ascii="Bookman Old Style" w:eastAsia="Times New Roman" w:hAnsi="Bookman Old Style" w:cs="Arial"/>
          <w:sz w:val="28"/>
          <w:szCs w:val="28"/>
        </w:rPr>
        <w:t xml:space="preserve"> otros</w:t>
      </w:r>
      <w:r w:rsidR="000C5F2F">
        <w:rPr>
          <w:rFonts w:ascii="Bookman Old Style" w:eastAsia="Times New Roman" w:hAnsi="Bookman Old Style" w:cs="Arial"/>
          <w:sz w:val="28"/>
          <w:szCs w:val="28"/>
        </w:rPr>
        <w:t>.</w:t>
      </w:r>
      <w:r w:rsidR="00611B93">
        <w:rPr>
          <w:rFonts w:ascii="Bookman Old Style" w:eastAsia="Times New Roman" w:hAnsi="Bookman Old Style" w:cs="Arial"/>
          <w:sz w:val="28"/>
          <w:szCs w:val="28"/>
        </w:rPr>
        <w:t xml:space="preserve"> </w:t>
      </w:r>
      <w:r w:rsidR="000C5F2F">
        <w:rPr>
          <w:rFonts w:ascii="Bookman Old Style" w:eastAsia="Times New Roman" w:hAnsi="Bookman Old Style" w:cs="Arial"/>
          <w:sz w:val="28"/>
          <w:szCs w:val="28"/>
        </w:rPr>
        <w:lastRenderedPageBreak/>
        <w:t>A</w:t>
      </w:r>
      <w:r w:rsidR="00611B93">
        <w:rPr>
          <w:rFonts w:ascii="Bookman Old Style" w:eastAsia="Times New Roman" w:hAnsi="Bookman Old Style" w:cs="Arial"/>
          <w:sz w:val="28"/>
          <w:szCs w:val="28"/>
        </w:rPr>
        <w:t>demás,</w:t>
      </w:r>
      <w:r w:rsidR="00E0352D">
        <w:rPr>
          <w:rFonts w:ascii="Bookman Old Style" w:eastAsia="Times New Roman" w:hAnsi="Bookman Old Style" w:cs="Arial"/>
          <w:sz w:val="28"/>
          <w:szCs w:val="28"/>
        </w:rPr>
        <w:t xml:space="preserve"> </w:t>
      </w:r>
      <w:r w:rsidR="00E8028D">
        <w:rPr>
          <w:rFonts w:ascii="Bookman Old Style" w:eastAsia="Times New Roman" w:hAnsi="Bookman Old Style" w:cs="Arial"/>
          <w:sz w:val="28"/>
          <w:szCs w:val="28"/>
        </w:rPr>
        <w:t xml:space="preserve">resistió </w:t>
      </w:r>
      <w:r w:rsidR="00E0352D">
        <w:rPr>
          <w:rFonts w:ascii="Bookman Old Style" w:eastAsia="Times New Roman" w:hAnsi="Bookman Old Style" w:cs="Arial"/>
          <w:sz w:val="28"/>
          <w:szCs w:val="28"/>
        </w:rPr>
        <w:t>las pretensiones de la demanda</w:t>
      </w:r>
      <w:r w:rsidR="000C5F2F">
        <w:rPr>
          <w:rFonts w:ascii="Bookman Old Style" w:eastAsia="Times New Roman" w:hAnsi="Bookman Old Style" w:cs="Arial"/>
          <w:sz w:val="28"/>
          <w:szCs w:val="28"/>
        </w:rPr>
        <w:t>.</w:t>
      </w:r>
      <w:r w:rsidR="00E0352D">
        <w:rPr>
          <w:rFonts w:ascii="Bookman Old Style" w:eastAsia="Times New Roman" w:hAnsi="Bookman Old Style" w:cs="Arial"/>
          <w:sz w:val="28"/>
          <w:szCs w:val="28"/>
        </w:rPr>
        <w:t xml:space="preserve"> </w:t>
      </w:r>
      <w:r w:rsidR="000C5F2F">
        <w:rPr>
          <w:rFonts w:ascii="Bookman Old Style" w:eastAsia="Times New Roman" w:hAnsi="Bookman Old Style" w:cs="Arial"/>
          <w:sz w:val="28"/>
          <w:szCs w:val="28"/>
        </w:rPr>
        <w:t>E</w:t>
      </w:r>
      <w:r w:rsidR="00E0352D">
        <w:rPr>
          <w:rFonts w:ascii="Bookman Old Style" w:eastAsia="Times New Roman" w:hAnsi="Bookman Old Style" w:cs="Arial"/>
          <w:sz w:val="28"/>
          <w:szCs w:val="28"/>
        </w:rPr>
        <w:t>n aparte separado, exp</w:t>
      </w:r>
      <w:r w:rsidR="000C5F2F">
        <w:rPr>
          <w:rFonts w:ascii="Bookman Old Style" w:eastAsia="Times New Roman" w:hAnsi="Bookman Old Style" w:cs="Arial"/>
          <w:sz w:val="28"/>
          <w:szCs w:val="28"/>
        </w:rPr>
        <w:t>uso</w:t>
      </w:r>
      <w:r w:rsidR="00E0352D">
        <w:rPr>
          <w:rFonts w:ascii="Bookman Old Style" w:eastAsia="Times New Roman" w:hAnsi="Bookman Old Style" w:cs="Arial"/>
          <w:sz w:val="28"/>
          <w:szCs w:val="28"/>
        </w:rPr>
        <w:t xml:space="preserve"> las razones por las cuales no admit</w:t>
      </w:r>
      <w:r w:rsidR="000C5F2F">
        <w:rPr>
          <w:rFonts w:ascii="Bookman Old Style" w:eastAsia="Times New Roman" w:hAnsi="Bookman Old Style" w:cs="Arial"/>
          <w:sz w:val="28"/>
          <w:szCs w:val="28"/>
        </w:rPr>
        <w:t>ió</w:t>
      </w:r>
      <w:r w:rsidR="00E0352D">
        <w:rPr>
          <w:rFonts w:ascii="Bookman Old Style" w:eastAsia="Times New Roman" w:hAnsi="Bookman Old Style" w:cs="Arial"/>
          <w:sz w:val="28"/>
          <w:szCs w:val="28"/>
        </w:rPr>
        <w:t xml:space="preserve"> las pretensiones</w:t>
      </w:r>
      <w:r w:rsidR="000C5F2F">
        <w:rPr>
          <w:rFonts w:ascii="Bookman Old Style" w:eastAsia="Times New Roman" w:hAnsi="Bookman Old Style" w:cs="Arial"/>
          <w:sz w:val="28"/>
          <w:szCs w:val="28"/>
        </w:rPr>
        <w:t>. Empero,</w:t>
      </w:r>
      <w:r w:rsidR="00CC4C91" w:rsidRPr="005F095D">
        <w:rPr>
          <w:rFonts w:ascii="Bookman Old Style" w:eastAsia="Times New Roman" w:hAnsi="Bookman Old Style" w:cs="Arial"/>
          <w:b/>
          <w:sz w:val="28"/>
          <w:szCs w:val="28"/>
        </w:rPr>
        <w:t xml:space="preserve"> </w:t>
      </w:r>
      <w:r w:rsidR="00CC4C91" w:rsidRPr="000C5F2F">
        <w:rPr>
          <w:rFonts w:ascii="Bookman Old Style" w:eastAsia="Times New Roman" w:hAnsi="Bookman Old Style" w:cs="Arial"/>
          <w:bCs/>
          <w:sz w:val="28"/>
          <w:szCs w:val="28"/>
        </w:rPr>
        <w:t xml:space="preserve">no propuso puntualmente excepciones de </w:t>
      </w:r>
      <w:r w:rsidR="001C2C14" w:rsidRPr="000C5F2F">
        <w:rPr>
          <w:rFonts w:ascii="Bookman Old Style" w:eastAsia="Times New Roman" w:hAnsi="Bookman Old Style" w:cs="Arial"/>
          <w:bCs/>
          <w:sz w:val="28"/>
          <w:szCs w:val="28"/>
        </w:rPr>
        <w:t>mérito</w:t>
      </w:r>
      <w:r w:rsidR="000C5F2F">
        <w:rPr>
          <w:rFonts w:ascii="Bookman Old Style" w:eastAsia="Times New Roman" w:hAnsi="Bookman Old Style" w:cs="Arial"/>
          <w:sz w:val="28"/>
          <w:szCs w:val="28"/>
        </w:rPr>
        <w:t xml:space="preserve"> (</w:t>
      </w:r>
      <w:r w:rsidR="004B4B7A">
        <w:rPr>
          <w:rFonts w:ascii="Bookman Old Style" w:eastAsia="Times New Roman" w:hAnsi="Bookman Old Style" w:cs="Arial"/>
          <w:sz w:val="28"/>
          <w:szCs w:val="28"/>
        </w:rPr>
        <w:t>pero s</w:t>
      </w:r>
      <w:r w:rsidR="000C5F2F">
        <w:rPr>
          <w:rFonts w:ascii="Bookman Old Style" w:eastAsia="Times New Roman" w:hAnsi="Bookman Old Style" w:cs="Arial"/>
          <w:sz w:val="28"/>
          <w:szCs w:val="28"/>
        </w:rPr>
        <w:t>í</w:t>
      </w:r>
      <w:r w:rsidR="004B4B7A">
        <w:rPr>
          <w:rFonts w:ascii="Bookman Old Style" w:eastAsia="Times New Roman" w:hAnsi="Bookman Old Style" w:cs="Arial"/>
          <w:sz w:val="28"/>
          <w:szCs w:val="28"/>
        </w:rPr>
        <w:t xml:space="preserve"> aportó documentos y solicitó la práctica de pruebas</w:t>
      </w:r>
      <w:r w:rsidR="000C5F2F">
        <w:rPr>
          <w:rFonts w:ascii="Bookman Old Style" w:eastAsia="Times New Roman" w:hAnsi="Bookman Old Style" w:cs="Arial"/>
          <w:sz w:val="28"/>
          <w:szCs w:val="28"/>
        </w:rPr>
        <w:t>)</w:t>
      </w:r>
      <w:r w:rsidR="00CC4C91">
        <w:rPr>
          <w:rFonts w:ascii="Bookman Old Style" w:eastAsia="Times New Roman" w:hAnsi="Bookman Old Style" w:cs="Arial"/>
          <w:sz w:val="28"/>
          <w:szCs w:val="28"/>
        </w:rPr>
        <w:t>.</w:t>
      </w:r>
      <w:r>
        <w:rPr>
          <w:rFonts w:ascii="Bookman Old Style" w:eastAsia="Times New Roman" w:hAnsi="Bookman Old Style" w:cs="Arial"/>
          <w:sz w:val="28"/>
          <w:szCs w:val="28"/>
        </w:rPr>
        <w:t xml:space="preserve"> </w:t>
      </w:r>
    </w:p>
    <w:p w14:paraId="0C7F0FEB" w14:textId="77777777" w:rsidR="00B74FA4" w:rsidRDefault="00B74FA4" w:rsidP="00B74FA4">
      <w:pPr>
        <w:spacing w:line="360" w:lineRule="auto"/>
        <w:ind w:firstLine="709"/>
        <w:jc w:val="both"/>
        <w:rPr>
          <w:rFonts w:ascii="Bookman Old Style" w:eastAsia="Times New Roman" w:hAnsi="Bookman Old Style" w:cs="Arial"/>
          <w:sz w:val="28"/>
          <w:szCs w:val="28"/>
        </w:rPr>
      </w:pPr>
    </w:p>
    <w:p w14:paraId="01925576" w14:textId="77777777" w:rsidR="00410954" w:rsidRDefault="00CE376A" w:rsidP="000C5F2F">
      <w:pPr>
        <w:spacing w:line="360" w:lineRule="auto"/>
        <w:ind w:firstLine="709"/>
        <w:jc w:val="both"/>
        <w:rPr>
          <w:rFonts w:ascii="Bookman Old Style" w:eastAsia="Times New Roman" w:hAnsi="Bookman Old Style" w:cs="Arial"/>
          <w:sz w:val="28"/>
          <w:szCs w:val="28"/>
        </w:rPr>
      </w:pPr>
      <w:r>
        <w:rPr>
          <w:rFonts w:ascii="Bookman Old Style" w:eastAsia="Times New Roman" w:hAnsi="Bookman Old Style" w:cs="Arial"/>
          <w:sz w:val="28"/>
          <w:szCs w:val="28"/>
        </w:rPr>
        <w:t>Mediante auto</w:t>
      </w:r>
      <w:r w:rsidR="00410954">
        <w:rPr>
          <w:rFonts w:ascii="Bookman Old Style" w:eastAsia="Times New Roman" w:hAnsi="Bookman Old Style" w:cs="Arial"/>
          <w:sz w:val="28"/>
          <w:szCs w:val="28"/>
        </w:rPr>
        <w:t xml:space="preserve"> </w:t>
      </w:r>
      <w:r w:rsidR="000C5F2F">
        <w:rPr>
          <w:rFonts w:ascii="Bookman Old Style" w:eastAsia="Times New Roman" w:hAnsi="Bookman Old Style" w:cs="Arial"/>
          <w:sz w:val="28"/>
          <w:szCs w:val="28"/>
        </w:rPr>
        <w:t xml:space="preserve">del </w:t>
      </w:r>
      <w:r w:rsidR="00410954">
        <w:rPr>
          <w:rFonts w:ascii="Bookman Old Style" w:eastAsia="Times New Roman" w:hAnsi="Bookman Old Style" w:cs="Arial"/>
          <w:sz w:val="28"/>
          <w:szCs w:val="28"/>
        </w:rPr>
        <w:t>27 de enero de 2010 (Folio 343 y 343, cuaderno 1)</w:t>
      </w:r>
      <w:r w:rsidR="000C5F2F">
        <w:rPr>
          <w:rFonts w:ascii="Bookman Old Style" w:eastAsia="Times New Roman" w:hAnsi="Bookman Old Style" w:cs="Arial"/>
          <w:sz w:val="28"/>
          <w:szCs w:val="28"/>
        </w:rPr>
        <w:t>,</w:t>
      </w:r>
      <w:r w:rsidR="00410954">
        <w:rPr>
          <w:rFonts w:ascii="Bookman Old Style" w:eastAsia="Times New Roman" w:hAnsi="Bookman Old Style" w:cs="Arial"/>
          <w:sz w:val="28"/>
          <w:szCs w:val="28"/>
        </w:rPr>
        <w:t xml:space="preserve"> el Juzgado Primero de Familia</w:t>
      </w:r>
      <w:r w:rsidR="000C5F2F">
        <w:rPr>
          <w:rFonts w:ascii="Bookman Old Style" w:eastAsia="Times New Roman" w:hAnsi="Bookman Old Style" w:cs="Arial"/>
          <w:sz w:val="28"/>
          <w:szCs w:val="28"/>
        </w:rPr>
        <w:t xml:space="preserve"> </w:t>
      </w:r>
      <w:r w:rsidR="00F3540A">
        <w:rPr>
          <w:rFonts w:ascii="Bookman Old Style" w:eastAsia="Times New Roman" w:hAnsi="Bookman Old Style" w:cs="Arial"/>
          <w:sz w:val="28"/>
          <w:szCs w:val="28"/>
        </w:rPr>
        <w:t>requirió</w:t>
      </w:r>
      <w:r w:rsidR="00410954">
        <w:rPr>
          <w:rFonts w:ascii="Bookman Old Style" w:eastAsia="Times New Roman" w:hAnsi="Bookman Old Style" w:cs="Arial"/>
          <w:sz w:val="28"/>
          <w:szCs w:val="28"/>
        </w:rPr>
        <w:t xml:space="preserve"> al actor para que suministr</w:t>
      </w:r>
      <w:r w:rsidR="00F3540A">
        <w:rPr>
          <w:rFonts w:ascii="Bookman Old Style" w:eastAsia="Times New Roman" w:hAnsi="Bookman Old Style" w:cs="Arial"/>
          <w:sz w:val="28"/>
          <w:szCs w:val="28"/>
        </w:rPr>
        <w:t>ara</w:t>
      </w:r>
      <w:r w:rsidR="00410954">
        <w:rPr>
          <w:rFonts w:ascii="Bookman Old Style" w:eastAsia="Times New Roman" w:hAnsi="Bookman Old Style" w:cs="Arial"/>
          <w:sz w:val="28"/>
          <w:szCs w:val="28"/>
        </w:rPr>
        <w:t xml:space="preserve"> los nombres</w:t>
      </w:r>
      <w:r w:rsidR="007A6D81">
        <w:rPr>
          <w:rFonts w:ascii="Bookman Old Style" w:eastAsia="Times New Roman" w:hAnsi="Bookman Old Style" w:cs="Arial"/>
          <w:sz w:val="28"/>
          <w:szCs w:val="28"/>
        </w:rPr>
        <w:t>.</w:t>
      </w:r>
      <w:r w:rsidR="00410954">
        <w:rPr>
          <w:rFonts w:ascii="Bookman Old Style" w:eastAsia="Times New Roman" w:hAnsi="Bookman Old Style" w:cs="Arial"/>
          <w:sz w:val="28"/>
          <w:szCs w:val="28"/>
        </w:rPr>
        <w:t xml:space="preserve"> </w:t>
      </w:r>
      <w:r w:rsidR="007A6D81">
        <w:rPr>
          <w:rFonts w:ascii="Bookman Old Style" w:eastAsia="Times New Roman" w:hAnsi="Bookman Old Style" w:cs="Arial"/>
          <w:sz w:val="28"/>
          <w:szCs w:val="28"/>
        </w:rPr>
        <w:t>Y,</w:t>
      </w:r>
      <w:r w:rsidR="00410954">
        <w:rPr>
          <w:rFonts w:ascii="Bookman Old Style" w:eastAsia="Times New Roman" w:hAnsi="Bookman Old Style" w:cs="Arial"/>
          <w:sz w:val="28"/>
          <w:szCs w:val="28"/>
        </w:rPr>
        <w:t xml:space="preserve"> de ser posible acredit</w:t>
      </w:r>
      <w:r w:rsidR="000C5F2F">
        <w:rPr>
          <w:rFonts w:ascii="Bookman Old Style" w:eastAsia="Times New Roman" w:hAnsi="Bookman Old Style" w:cs="Arial"/>
          <w:sz w:val="28"/>
          <w:szCs w:val="28"/>
        </w:rPr>
        <w:t>ase</w:t>
      </w:r>
      <w:r w:rsidR="00410954">
        <w:rPr>
          <w:rFonts w:ascii="Bookman Old Style" w:eastAsia="Times New Roman" w:hAnsi="Bookman Old Style" w:cs="Arial"/>
          <w:sz w:val="28"/>
          <w:szCs w:val="28"/>
        </w:rPr>
        <w:t xml:space="preserve"> la condición que ostentan de herederos</w:t>
      </w:r>
      <w:r w:rsidR="004C3324">
        <w:rPr>
          <w:rFonts w:ascii="Bookman Old Style" w:eastAsia="Times New Roman" w:hAnsi="Bookman Old Style" w:cs="Arial"/>
          <w:sz w:val="28"/>
          <w:szCs w:val="28"/>
        </w:rPr>
        <w:t>.</w:t>
      </w:r>
      <w:r w:rsidR="00410954">
        <w:rPr>
          <w:rFonts w:ascii="Bookman Old Style" w:eastAsia="Times New Roman" w:hAnsi="Bookman Old Style" w:cs="Arial"/>
          <w:sz w:val="28"/>
          <w:szCs w:val="28"/>
        </w:rPr>
        <w:t xml:space="preserve">   </w:t>
      </w:r>
    </w:p>
    <w:p w14:paraId="65E52DFD" w14:textId="77777777" w:rsidR="00410954" w:rsidRDefault="00410954" w:rsidP="00B74FA4">
      <w:pPr>
        <w:spacing w:line="360" w:lineRule="auto"/>
        <w:ind w:firstLine="709"/>
        <w:jc w:val="both"/>
        <w:rPr>
          <w:rFonts w:ascii="Bookman Old Style" w:eastAsia="Times New Roman" w:hAnsi="Bookman Old Style" w:cs="Arial"/>
          <w:sz w:val="28"/>
          <w:szCs w:val="28"/>
        </w:rPr>
      </w:pPr>
    </w:p>
    <w:p w14:paraId="24221D80" w14:textId="77777777" w:rsidR="00B74FA4" w:rsidRPr="003F010A" w:rsidRDefault="00B74FA4" w:rsidP="00CA6ABA">
      <w:pPr>
        <w:spacing w:line="360" w:lineRule="auto"/>
        <w:ind w:firstLine="709"/>
        <w:jc w:val="both"/>
        <w:rPr>
          <w:rFonts w:ascii="Bookman Old Style" w:eastAsia="Times New Roman" w:hAnsi="Bookman Old Style" w:cs="Arial"/>
          <w:sz w:val="28"/>
          <w:szCs w:val="28"/>
        </w:rPr>
      </w:pPr>
      <w:r>
        <w:rPr>
          <w:rFonts w:ascii="Bookman Old Style" w:eastAsia="Times New Roman" w:hAnsi="Bookman Old Style" w:cs="Arial"/>
          <w:sz w:val="28"/>
          <w:szCs w:val="28"/>
        </w:rPr>
        <w:t xml:space="preserve">Surtida la actuación correspondiente, el Juzgado </w:t>
      </w:r>
      <w:r w:rsidR="00011032">
        <w:rPr>
          <w:rFonts w:ascii="Bookman Old Style" w:eastAsia="Times New Roman" w:hAnsi="Bookman Old Style" w:cs="Arial"/>
          <w:sz w:val="28"/>
          <w:szCs w:val="28"/>
        </w:rPr>
        <w:t>Primero</w:t>
      </w:r>
      <w:r>
        <w:rPr>
          <w:rFonts w:ascii="Bookman Old Style" w:eastAsia="Times New Roman" w:hAnsi="Bookman Old Style" w:cs="Arial"/>
          <w:sz w:val="28"/>
          <w:szCs w:val="28"/>
        </w:rPr>
        <w:t xml:space="preserve"> </w:t>
      </w:r>
      <w:r w:rsidR="00011032">
        <w:rPr>
          <w:rFonts w:ascii="Bookman Old Style" w:eastAsia="Times New Roman" w:hAnsi="Bookman Old Style" w:cs="Arial"/>
          <w:sz w:val="28"/>
          <w:szCs w:val="28"/>
        </w:rPr>
        <w:t>de Familia de Bucaramanga</w:t>
      </w:r>
      <w:r>
        <w:rPr>
          <w:rFonts w:ascii="Bookman Old Style" w:eastAsia="Times New Roman" w:hAnsi="Bookman Old Style" w:cs="Arial"/>
          <w:sz w:val="28"/>
          <w:szCs w:val="28"/>
        </w:rPr>
        <w:t xml:space="preserve"> cerró la primera instancia </w:t>
      </w:r>
      <w:r w:rsidR="000C5F2F">
        <w:rPr>
          <w:rFonts w:ascii="Bookman Old Style" w:eastAsia="Times New Roman" w:hAnsi="Bookman Old Style" w:cs="Arial"/>
          <w:sz w:val="28"/>
          <w:szCs w:val="28"/>
        </w:rPr>
        <w:t>con</w:t>
      </w:r>
      <w:r w:rsidR="00131A3B">
        <w:rPr>
          <w:rFonts w:ascii="Bookman Old Style" w:eastAsia="Times New Roman" w:hAnsi="Bookman Old Style" w:cs="Arial"/>
          <w:sz w:val="28"/>
          <w:szCs w:val="28"/>
        </w:rPr>
        <w:t xml:space="preserve"> </w:t>
      </w:r>
      <w:r>
        <w:rPr>
          <w:rFonts w:ascii="Bookman Old Style" w:eastAsia="Times New Roman" w:hAnsi="Bookman Old Style" w:cs="Arial"/>
          <w:sz w:val="28"/>
          <w:szCs w:val="28"/>
        </w:rPr>
        <w:t xml:space="preserve">sentencia </w:t>
      </w:r>
      <w:r w:rsidR="000C5F2F">
        <w:rPr>
          <w:rFonts w:ascii="Bookman Old Style" w:eastAsia="Times New Roman" w:hAnsi="Bookman Old Style" w:cs="Arial"/>
          <w:sz w:val="28"/>
          <w:szCs w:val="28"/>
        </w:rPr>
        <w:t>del</w:t>
      </w:r>
      <w:r w:rsidR="00011032">
        <w:rPr>
          <w:rFonts w:ascii="Bookman Old Style" w:eastAsia="Times New Roman" w:hAnsi="Bookman Old Style" w:cs="Arial"/>
          <w:sz w:val="28"/>
          <w:szCs w:val="28"/>
        </w:rPr>
        <w:t xml:space="preserve"> 6</w:t>
      </w:r>
      <w:r>
        <w:rPr>
          <w:rFonts w:ascii="Bookman Old Style" w:eastAsia="Times New Roman" w:hAnsi="Bookman Old Style" w:cs="Arial"/>
          <w:sz w:val="28"/>
          <w:szCs w:val="28"/>
        </w:rPr>
        <w:t xml:space="preserve"> de </w:t>
      </w:r>
      <w:r w:rsidR="00011032">
        <w:rPr>
          <w:rFonts w:ascii="Bookman Old Style" w:eastAsia="Times New Roman" w:hAnsi="Bookman Old Style" w:cs="Arial"/>
          <w:sz w:val="28"/>
          <w:szCs w:val="28"/>
        </w:rPr>
        <w:t>agosto</w:t>
      </w:r>
      <w:r>
        <w:rPr>
          <w:rFonts w:ascii="Bookman Old Style" w:eastAsia="Times New Roman" w:hAnsi="Bookman Old Style" w:cs="Arial"/>
          <w:sz w:val="28"/>
          <w:szCs w:val="28"/>
        </w:rPr>
        <w:t xml:space="preserve"> de 201</w:t>
      </w:r>
      <w:r w:rsidR="00011032">
        <w:rPr>
          <w:rFonts w:ascii="Bookman Old Style" w:eastAsia="Times New Roman" w:hAnsi="Bookman Old Style" w:cs="Arial"/>
          <w:sz w:val="28"/>
          <w:szCs w:val="28"/>
        </w:rPr>
        <w:t>2</w:t>
      </w:r>
      <w:r w:rsidR="000C5F2F">
        <w:rPr>
          <w:rFonts w:ascii="Bookman Old Style" w:eastAsia="Times New Roman" w:hAnsi="Bookman Old Style" w:cs="Arial"/>
          <w:sz w:val="28"/>
          <w:szCs w:val="28"/>
        </w:rPr>
        <w:t xml:space="preserve">. Con esta providencia se accedió </w:t>
      </w:r>
      <w:r w:rsidR="00011032">
        <w:rPr>
          <w:rFonts w:ascii="Bookman Old Style" w:eastAsia="Times New Roman" w:hAnsi="Bookman Old Style" w:cs="Arial"/>
          <w:sz w:val="28"/>
          <w:szCs w:val="28"/>
        </w:rPr>
        <w:t>a la pretensión principal</w:t>
      </w:r>
      <w:r w:rsidR="000C5F2F">
        <w:rPr>
          <w:rFonts w:ascii="Bookman Old Style" w:eastAsia="Times New Roman" w:hAnsi="Bookman Old Style" w:cs="Arial"/>
          <w:sz w:val="28"/>
          <w:szCs w:val="28"/>
        </w:rPr>
        <w:t xml:space="preserve">. Se </w:t>
      </w:r>
      <w:r w:rsidR="00011032">
        <w:rPr>
          <w:rFonts w:ascii="Bookman Old Style" w:eastAsia="Times New Roman" w:hAnsi="Bookman Old Style" w:cs="Arial"/>
          <w:sz w:val="28"/>
          <w:szCs w:val="28"/>
        </w:rPr>
        <w:t>declar</w:t>
      </w:r>
      <w:r w:rsidR="002D27C2">
        <w:rPr>
          <w:rFonts w:ascii="Bookman Old Style" w:eastAsia="Times New Roman" w:hAnsi="Bookman Old Style" w:cs="Arial"/>
          <w:sz w:val="28"/>
          <w:szCs w:val="28"/>
        </w:rPr>
        <w:t>ó</w:t>
      </w:r>
      <w:r w:rsidR="00011032">
        <w:rPr>
          <w:rFonts w:ascii="Bookman Old Style" w:eastAsia="Times New Roman" w:hAnsi="Bookman Old Style" w:cs="Arial"/>
          <w:sz w:val="28"/>
          <w:szCs w:val="28"/>
        </w:rPr>
        <w:t xml:space="preserve"> que la escritura pública 971 del 12 de mayo de 2004</w:t>
      </w:r>
      <w:r w:rsidR="000C5F2F">
        <w:rPr>
          <w:rFonts w:ascii="Bookman Old Style" w:eastAsia="Times New Roman" w:hAnsi="Bookman Old Style" w:cs="Arial"/>
          <w:sz w:val="28"/>
          <w:szCs w:val="28"/>
        </w:rPr>
        <w:t xml:space="preserve"> de </w:t>
      </w:r>
      <w:r w:rsidR="00011032">
        <w:rPr>
          <w:rFonts w:ascii="Bookman Old Style" w:eastAsia="Times New Roman" w:hAnsi="Bookman Old Style" w:cs="Arial"/>
          <w:sz w:val="28"/>
          <w:szCs w:val="28"/>
        </w:rPr>
        <w:t>la Notaría Décima de Bucaramanga</w:t>
      </w:r>
      <w:r w:rsidR="000C5F2F">
        <w:rPr>
          <w:rFonts w:ascii="Bookman Old Style" w:eastAsia="Times New Roman" w:hAnsi="Bookman Old Style" w:cs="Arial"/>
          <w:sz w:val="28"/>
          <w:szCs w:val="28"/>
        </w:rPr>
        <w:t xml:space="preserve"> -</w:t>
      </w:r>
      <w:r w:rsidR="00011032">
        <w:rPr>
          <w:rFonts w:ascii="Bookman Old Style" w:eastAsia="Times New Roman" w:hAnsi="Bookman Old Style" w:cs="Arial"/>
          <w:sz w:val="28"/>
          <w:szCs w:val="28"/>
        </w:rPr>
        <w:t xml:space="preserve">en relación </w:t>
      </w:r>
      <w:r w:rsidR="00D73EB6">
        <w:rPr>
          <w:rFonts w:ascii="Bookman Old Style" w:eastAsia="Times New Roman" w:hAnsi="Bookman Old Style" w:cs="Arial"/>
          <w:sz w:val="28"/>
          <w:szCs w:val="28"/>
        </w:rPr>
        <w:t>con</w:t>
      </w:r>
      <w:r w:rsidR="00011032">
        <w:rPr>
          <w:rFonts w:ascii="Bookman Old Style" w:eastAsia="Times New Roman" w:hAnsi="Bookman Old Style" w:cs="Arial"/>
          <w:sz w:val="28"/>
          <w:szCs w:val="28"/>
        </w:rPr>
        <w:t xml:space="preserve"> la renuncia de gananciales</w:t>
      </w:r>
      <w:r w:rsidR="000C5F2F">
        <w:rPr>
          <w:rFonts w:ascii="Bookman Old Style" w:eastAsia="Times New Roman" w:hAnsi="Bookman Old Style" w:cs="Arial"/>
          <w:sz w:val="28"/>
          <w:szCs w:val="28"/>
        </w:rPr>
        <w:t>-</w:t>
      </w:r>
      <w:r w:rsidR="00011032">
        <w:rPr>
          <w:rFonts w:ascii="Bookman Old Style" w:eastAsia="Times New Roman" w:hAnsi="Bookman Old Style" w:cs="Arial"/>
          <w:sz w:val="28"/>
          <w:szCs w:val="28"/>
        </w:rPr>
        <w:t xml:space="preserve"> es </w:t>
      </w:r>
      <w:r w:rsidR="00011032" w:rsidRPr="000C5F2F">
        <w:rPr>
          <w:rFonts w:ascii="Bookman Old Style" w:eastAsia="Times New Roman" w:hAnsi="Bookman Old Style" w:cs="Arial"/>
          <w:bCs/>
          <w:sz w:val="28"/>
          <w:szCs w:val="28"/>
        </w:rPr>
        <w:t>inoponible</w:t>
      </w:r>
      <w:r w:rsidR="00011032">
        <w:rPr>
          <w:rFonts w:ascii="Bookman Old Style" w:eastAsia="Times New Roman" w:hAnsi="Bookman Old Style" w:cs="Arial"/>
          <w:b/>
          <w:sz w:val="28"/>
          <w:szCs w:val="28"/>
        </w:rPr>
        <w:t xml:space="preserve"> </w:t>
      </w:r>
      <w:r w:rsidR="00011032">
        <w:rPr>
          <w:rFonts w:ascii="Bookman Old Style" w:eastAsia="Times New Roman" w:hAnsi="Bookman Old Style" w:cs="Arial"/>
          <w:sz w:val="28"/>
          <w:szCs w:val="28"/>
        </w:rPr>
        <w:t>a los herederos del causante</w:t>
      </w:r>
      <w:r w:rsidR="000C5F2F">
        <w:rPr>
          <w:rFonts w:ascii="Bookman Old Style" w:eastAsia="Times New Roman" w:hAnsi="Bookman Old Style" w:cs="Arial"/>
          <w:sz w:val="28"/>
          <w:szCs w:val="28"/>
        </w:rPr>
        <w:t xml:space="preserve"> (</w:t>
      </w:r>
      <w:r w:rsidR="00011032">
        <w:rPr>
          <w:rFonts w:ascii="Bookman Old Style" w:eastAsia="Times New Roman" w:hAnsi="Bookman Old Style" w:cs="Arial"/>
          <w:sz w:val="28"/>
          <w:szCs w:val="28"/>
        </w:rPr>
        <w:t>Álvaro Gómez Prada, señores Luis Álvaro Gómez Meza, Clara Elena, Álvaro Omar, Carlos Alberto y José Fernando Gómez Hernández</w:t>
      </w:r>
      <w:r w:rsidR="000C5F2F">
        <w:rPr>
          <w:rFonts w:ascii="Bookman Old Style" w:eastAsia="Times New Roman" w:hAnsi="Bookman Old Style" w:cs="Arial"/>
          <w:sz w:val="28"/>
          <w:szCs w:val="28"/>
        </w:rPr>
        <w:t>). I</w:t>
      </w:r>
      <w:r w:rsidR="002D27C2" w:rsidRPr="002D27C2">
        <w:rPr>
          <w:rFonts w:ascii="Bookman Old Style" w:eastAsia="Times New Roman" w:hAnsi="Bookman Old Style" w:cs="Arial"/>
          <w:sz w:val="28"/>
          <w:szCs w:val="28"/>
        </w:rPr>
        <w:t>gualmente</w:t>
      </w:r>
      <w:r w:rsidR="000C5F2F">
        <w:rPr>
          <w:rFonts w:ascii="Bookman Old Style" w:eastAsia="Times New Roman" w:hAnsi="Bookman Old Style" w:cs="Arial"/>
          <w:sz w:val="28"/>
          <w:szCs w:val="28"/>
        </w:rPr>
        <w:t>,</w:t>
      </w:r>
      <w:r w:rsidR="002D27C2" w:rsidRPr="002D27C2">
        <w:rPr>
          <w:rFonts w:ascii="Bookman Old Style" w:eastAsia="Times New Roman" w:hAnsi="Bookman Old Style" w:cs="Arial"/>
          <w:sz w:val="28"/>
          <w:szCs w:val="28"/>
        </w:rPr>
        <w:t xml:space="preserve"> denegó la pretensión segunda de la demanda</w:t>
      </w:r>
      <w:r w:rsidR="000C5F2F">
        <w:rPr>
          <w:rFonts w:ascii="Bookman Old Style" w:eastAsia="Times New Roman" w:hAnsi="Bookman Old Style" w:cs="Arial"/>
          <w:sz w:val="28"/>
          <w:szCs w:val="28"/>
        </w:rPr>
        <w:t>.</w:t>
      </w:r>
      <w:r w:rsidR="002D27C2">
        <w:rPr>
          <w:rFonts w:ascii="Bookman Old Style" w:eastAsia="Times New Roman" w:hAnsi="Bookman Old Style" w:cs="Arial"/>
          <w:sz w:val="28"/>
          <w:szCs w:val="28"/>
        </w:rPr>
        <w:t xml:space="preserve"> </w:t>
      </w:r>
      <w:r w:rsidR="000C5F2F">
        <w:rPr>
          <w:rFonts w:ascii="Bookman Old Style" w:eastAsia="Times New Roman" w:hAnsi="Bookman Old Style" w:cs="Arial"/>
          <w:sz w:val="28"/>
          <w:szCs w:val="28"/>
        </w:rPr>
        <w:t>Además,</w:t>
      </w:r>
      <w:r w:rsidR="002D27C2">
        <w:rPr>
          <w:rFonts w:ascii="Bookman Old Style" w:eastAsia="Times New Roman" w:hAnsi="Bookman Old Style" w:cs="Arial"/>
          <w:sz w:val="28"/>
          <w:szCs w:val="28"/>
        </w:rPr>
        <w:t xml:space="preserve"> declaró la falta de legitimación en la causa por </w:t>
      </w:r>
      <w:r w:rsidR="002D27C2" w:rsidRPr="000C5F2F">
        <w:rPr>
          <w:rFonts w:ascii="Bookman Old Style" w:eastAsia="Times New Roman" w:hAnsi="Bookman Old Style" w:cs="Arial"/>
          <w:bCs/>
          <w:sz w:val="28"/>
          <w:szCs w:val="28"/>
        </w:rPr>
        <w:t>activa</w:t>
      </w:r>
      <w:r w:rsidR="000C5F2F" w:rsidRPr="00D73EB6">
        <w:rPr>
          <w:rFonts w:ascii="Bookman Old Style" w:eastAsia="Times New Roman" w:hAnsi="Bookman Old Style" w:cs="Arial"/>
          <w:bCs/>
          <w:sz w:val="28"/>
          <w:szCs w:val="28"/>
        </w:rPr>
        <w:t>,</w:t>
      </w:r>
      <w:r w:rsidR="002D27C2">
        <w:rPr>
          <w:rFonts w:ascii="Bookman Old Style" w:eastAsia="Times New Roman" w:hAnsi="Bookman Old Style" w:cs="Arial"/>
          <w:b/>
          <w:sz w:val="28"/>
          <w:szCs w:val="28"/>
        </w:rPr>
        <w:t xml:space="preserve"> </w:t>
      </w:r>
      <w:r w:rsidR="002D27C2">
        <w:rPr>
          <w:rFonts w:ascii="Bookman Old Style" w:eastAsia="Times New Roman" w:hAnsi="Bookman Old Style" w:cs="Arial"/>
          <w:sz w:val="28"/>
          <w:szCs w:val="28"/>
        </w:rPr>
        <w:t>respecto de Diana María Gómez Chacón.</w:t>
      </w:r>
      <w:r w:rsidR="002D27C2">
        <w:rPr>
          <w:rFonts w:ascii="Bookman Old Style" w:eastAsia="Times New Roman" w:hAnsi="Bookman Old Style" w:cs="Arial"/>
          <w:b/>
          <w:sz w:val="28"/>
          <w:szCs w:val="28"/>
        </w:rPr>
        <w:t xml:space="preserve"> </w:t>
      </w:r>
      <w:r w:rsidRPr="002D27C2">
        <w:rPr>
          <w:rFonts w:ascii="Bookman Old Style" w:eastAsia="Times New Roman" w:hAnsi="Bookman Old Style" w:cs="Arial"/>
          <w:sz w:val="28"/>
          <w:szCs w:val="28"/>
        </w:rPr>
        <w:t xml:space="preserve"> </w:t>
      </w:r>
    </w:p>
    <w:p w14:paraId="4BD28D98" w14:textId="77777777" w:rsidR="00B74FA4" w:rsidRDefault="00B74FA4" w:rsidP="00B74FA4">
      <w:pPr>
        <w:spacing w:line="360" w:lineRule="auto"/>
        <w:ind w:firstLine="709"/>
        <w:jc w:val="both"/>
        <w:rPr>
          <w:rFonts w:ascii="Bookman Old Style" w:eastAsia="Times New Roman" w:hAnsi="Bookman Old Style" w:cs="Arial"/>
          <w:sz w:val="28"/>
          <w:szCs w:val="28"/>
        </w:rPr>
      </w:pPr>
      <w:r>
        <w:rPr>
          <w:rFonts w:ascii="Bookman Old Style" w:eastAsia="Times New Roman" w:hAnsi="Bookman Old Style" w:cs="Arial"/>
          <w:sz w:val="28"/>
          <w:szCs w:val="28"/>
        </w:rPr>
        <w:t xml:space="preserve">El fundamento medular del fallo de primer grado consistió </w:t>
      </w:r>
      <w:r w:rsidR="009A5C44">
        <w:rPr>
          <w:rFonts w:ascii="Bookman Old Style" w:eastAsia="Times New Roman" w:hAnsi="Bookman Old Style" w:cs="Arial"/>
          <w:sz w:val="28"/>
          <w:szCs w:val="28"/>
        </w:rPr>
        <w:t xml:space="preserve">en reconocer </w:t>
      </w:r>
      <w:r w:rsidR="00930262">
        <w:rPr>
          <w:rFonts w:ascii="Bookman Old Style" w:eastAsia="Times New Roman" w:hAnsi="Bookman Old Style" w:cs="Arial"/>
          <w:sz w:val="28"/>
          <w:szCs w:val="28"/>
        </w:rPr>
        <w:t>el detrimento d</w:t>
      </w:r>
      <w:r w:rsidR="009A5C44">
        <w:rPr>
          <w:rFonts w:ascii="Bookman Old Style" w:eastAsia="Times New Roman" w:hAnsi="Bookman Old Style" w:cs="Arial"/>
          <w:sz w:val="28"/>
          <w:szCs w:val="28"/>
        </w:rPr>
        <w:t xml:space="preserve">el actor </w:t>
      </w:r>
      <w:r w:rsidR="00930262">
        <w:rPr>
          <w:rFonts w:ascii="Bookman Old Style" w:eastAsia="Times New Roman" w:hAnsi="Bookman Old Style" w:cs="Arial"/>
          <w:sz w:val="28"/>
          <w:szCs w:val="28"/>
        </w:rPr>
        <w:t xml:space="preserve">por </w:t>
      </w:r>
      <w:r w:rsidR="009A5C44">
        <w:rPr>
          <w:rFonts w:ascii="Bookman Old Style" w:eastAsia="Times New Roman" w:hAnsi="Bookman Old Style" w:cs="Arial"/>
          <w:sz w:val="28"/>
          <w:szCs w:val="28"/>
        </w:rPr>
        <w:t>la renuncia a los gananciales que hiciera su progenitor.</w:t>
      </w:r>
    </w:p>
    <w:p w14:paraId="678ECEBE" w14:textId="77777777" w:rsidR="00247A6C" w:rsidRDefault="00247A6C" w:rsidP="00B74FA4">
      <w:pPr>
        <w:spacing w:line="360" w:lineRule="auto"/>
        <w:ind w:firstLine="709"/>
        <w:jc w:val="both"/>
        <w:rPr>
          <w:rFonts w:ascii="Bookman Old Style" w:eastAsia="Times New Roman" w:hAnsi="Bookman Old Style" w:cs="Arial"/>
          <w:sz w:val="28"/>
          <w:szCs w:val="28"/>
        </w:rPr>
      </w:pPr>
    </w:p>
    <w:p w14:paraId="6C9E36A6" w14:textId="77777777" w:rsidR="00621090" w:rsidRDefault="00621090" w:rsidP="00B74FA4">
      <w:pPr>
        <w:spacing w:line="360" w:lineRule="auto"/>
        <w:ind w:firstLine="709"/>
        <w:jc w:val="both"/>
        <w:rPr>
          <w:rFonts w:ascii="Bookman Old Style" w:eastAsia="Times New Roman" w:hAnsi="Bookman Old Style" w:cs="Arial"/>
          <w:sz w:val="28"/>
          <w:szCs w:val="28"/>
        </w:rPr>
      </w:pPr>
    </w:p>
    <w:p w14:paraId="0CA3602A" w14:textId="77777777" w:rsidR="00B74FA4" w:rsidRPr="003F010A" w:rsidRDefault="00930262" w:rsidP="00B74FA4">
      <w:pPr>
        <w:spacing w:line="360" w:lineRule="auto"/>
        <w:ind w:firstLine="709"/>
        <w:jc w:val="both"/>
        <w:rPr>
          <w:rFonts w:ascii="Bookman Old Style" w:eastAsia="Times New Roman" w:hAnsi="Bookman Old Style" w:cs="Arial"/>
          <w:sz w:val="28"/>
          <w:szCs w:val="28"/>
        </w:rPr>
      </w:pPr>
      <w:r>
        <w:rPr>
          <w:rFonts w:ascii="Bookman Old Style" w:eastAsia="Times New Roman" w:hAnsi="Bookman Old Style" w:cs="Arial"/>
          <w:sz w:val="28"/>
          <w:szCs w:val="28"/>
        </w:rPr>
        <w:lastRenderedPageBreak/>
        <w:t>Por su parte, e</w:t>
      </w:r>
      <w:r w:rsidR="00676A52">
        <w:rPr>
          <w:rFonts w:ascii="Bookman Old Style" w:eastAsia="Times New Roman" w:hAnsi="Bookman Old Style" w:cs="Arial"/>
          <w:sz w:val="28"/>
          <w:szCs w:val="28"/>
        </w:rPr>
        <w:t xml:space="preserve">l Tribunal del Distrito Judicial de </w:t>
      </w:r>
      <w:r w:rsidR="00965E90">
        <w:rPr>
          <w:rFonts w:ascii="Bookman Old Style" w:eastAsia="Times New Roman" w:hAnsi="Bookman Old Style" w:cs="Arial"/>
          <w:sz w:val="28"/>
          <w:szCs w:val="28"/>
        </w:rPr>
        <w:t>Bucaramanga</w:t>
      </w:r>
      <w:r w:rsidR="00676A52">
        <w:rPr>
          <w:rFonts w:ascii="Bookman Old Style" w:eastAsia="Times New Roman" w:hAnsi="Bookman Old Style" w:cs="Arial"/>
          <w:sz w:val="28"/>
          <w:szCs w:val="28"/>
        </w:rPr>
        <w:t xml:space="preserve"> resolvió las impugnaciones por conducto de la sentencia de 28 de mayo de 2013</w:t>
      </w:r>
      <w:r w:rsidR="006D7737">
        <w:rPr>
          <w:rFonts w:ascii="Bookman Old Style" w:eastAsia="Times New Roman" w:hAnsi="Bookman Old Style" w:cs="Arial"/>
          <w:sz w:val="28"/>
          <w:szCs w:val="28"/>
        </w:rPr>
        <w:t>, que revocó en todas sus partes la decisión de primer grado</w:t>
      </w:r>
      <w:r w:rsidR="00676A52">
        <w:rPr>
          <w:rFonts w:ascii="Bookman Old Style" w:eastAsia="Times New Roman" w:hAnsi="Bookman Old Style" w:cs="Arial"/>
          <w:sz w:val="28"/>
          <w:szCs w:val="28"/>
        </w:rPr>
        <w:t xml:space="preserve">. </w:t>
      </w:r>
    </w:p>
    <w:p w14:paraId="72ACE76C" w14:textId="77777777" w:rsidR="00B74FA4" w:rsidRDefault="00B74FA4" w:rsidP="00B74FA4">
      <w:pPr>
        <w:spacing w:line="360" w:lineRule="auto"/>
        <w:rPr>
          <w:rFonts w:eastAsia="Times New Roman"/>
        </w:rPr>
      </w:pPr>
      <w:r w:rsidRPr="003F010A">
        <w:rPr>
          <w:rFonts w:eastAsia="Times New Roman"/>
        </w:rPr>
        <w:tab/>
      </w:r>
      <w:r w:rsidRPr="003F010A">
        <w:rPr>
          <w:rFonts w:eastAsia="Times New Roman"/>
        </w:rPr>
        <w:tab/>
      </w:r>
      <w:r w:rsidRPr="003F010A">
        <w:rPr>
          <w:rFonts w:eastAsia="Times New Roman"/>
        </w:rPr>
        <w:tab/>
      </w:r>
    </w:p>
    <w:p w14:paraId="6E3714F7" w14:textId="77777777" w:rsidR="00B74FA4" w:rsidRDefault="00B74FA4" w:rsidP="00B74FA4">
      <w:pPr>
        <w:spacing w:line="360" w:lineRule="auto"/>
        <w:jc w:val="center"/>
        <w:rPr>
          <w:rFonts w:ascii="Bookman Old Style" w:eastAsia="Times New Roman" w:hAnsi="Bookman Old Style" w:cs="Arial"/>
          <w:b/>
          <w:sz w:val="28"/>
          <w:szCs w:val="28"/>
        </w:rPr>
      </w:pPr>
      <w:r w:rsidRPr="003F010A">
        <w:rPr>
          <w:rFonts w:ascii="Bookman Old Style" w:eastAsia="Times New Roman" w:hAnsi="Bookman Old Style" w:cs="Arial"/>
          <w:b/>
          <w:sz w:val="28"/>
          <w:szCs w:val="28"/>
        </w:rPr>
        <w:t>LA SENTENCIA DEL TRIBUNAL</w:t>
      </w:r>
    </w:p>
    <w:p w14:paraId="522C35F3" w14:textId="77777777" w:rsidR="00B74FA4" w:rsidRDefault="00B74FA4" w:rsidP="00B74FA4">
      <w:pPr>
        <w:spacing w:line="360" w:lineRule="auto"/>
        <w:rPr>
          <w:rFonts w:ascii="Bookman Old Style" w:eastAsia="Times New Roman" w:hAnsi="Bookman Old Style" w:cs="Arial"/>
          <w:b/>
          <w:sz w:val="28"/>
          <w:szCs w:val="28"/>
        </w:rPr>
      </w:pPr>
    </w:p>
    <w:p w14:paraId="051E8C9D" w14:textId="77777777" w:rsidR="00B74FA4" w:rsidRDefault="00B74FA4" w:rsidP="00B74FA4">
      <w:pPr>
        <w:spacing w:line="360" w:lineRule="auto"/>
        <w:ind w:firstLine="709"/>
        <w:jc w:val="both"/>
        <w:rPr>
          <w:rFonts w:ascii="Bookman Old Style" w:hAnsi="Bookman Old Style"/>
          <w:sz w:val="28"/>
          <w:szCs w:val="28"/>
        </w:rPr>
      </w:pPr>
      <w:r>
        <w:rPr>
          <w:rFonts w:ascii="Bookman Old Style" w:hAnsi="Bookman Old Style"/>
          <w:sz w:val="28"/>
          <w:szCs w:val="28"/>
        </w:rPr>
        <w:t xml:space="preserve">1. </w:t>
      </w:r>
      <w:r w:rsidR="00132BCD">
        <w:rPr>
          <w:rFonts w:ascii="Bookman Old Style" w:hAnsi="Bookman Old Style"/>
          <w:sz w:val="28"/>
          <w:szCs w:val="28"/>
        </w:rPr>
        <w:t>Encontró reunidos</w:t>
      </w:r>
      <w:r w:rsidRPr="00930B81">
        <w:rPr>
          <w:rFonts w:ascii="Bookman Old Style" w:hAnsi="Bookman Old Style"/>
          <w:b/>
          <w:sz w:val="28"/>
          <w:szCs w:val="28"/>
        </w:rPr>
        <w:t xml:space="preserve"> </w:t>
      </w:r>
      <w:r w:rsidRPr="00930B81">
        <w:rPr>
          <w:rFonts w:ascii="Bookman Old Style" w:hAnsi="Bookman Old Style"/>
          <w:sz w:val="28"/>
          <w:szCs w:val="28"/>
        </w:rPr>
        <w:t>los presupuestos procesales</w:t>
      </w:r>
      <w:r w:rsidR="00930262">
        <w:rPr>
          <w:rFonts w:ascii="Bookman Old Style" w:hAnsi="Bookman Old Style"/>
          <w:sz w:val="28"/>
          <w:szCs w:val="28"/>
        </w:rPr>
        <w:t>.</w:t>
      </w:r>
      <w:r w:rsidRPr="00930B81">
        <w:rPr>
          <w:rFonts w:ascii="Bookman Old Style" w:hAnsi="Bookman Old Style"/>
          <w:sz w:val="28"/>
          <w:szCs w:val="28"/>
        </w:rPr>
        <w:t xml:space="preserve"> </w:t>
      </w:r>
      <w:r w:rsidR="00930262">
        <w:rPr>
          <w:rFonts w:ascii="Bookman Old Style" w:hAnsi="Bookman Old Style"/>
          <w:sz w:val="28"/>
          <w:szCs w:val="28"/>
        </w:rPr>
        <w:t>N</w:t>
      </w:r>
      <w:r w:rsidRPr="00930B81">
        <w:rPr>
          <w:rFonts w:ascii="Bookman Old Style" w:hAnsi="Bookman Old Style"/>
          <w:sz w:val="28"/>
          <w:szCs w:val="28"/>
        </w:rPr>
        <w:t>o observó irregularidad alguna que pueda invalidar lo actuado</w:t>
      </w:r>
      <w:r w:rsidR="00930262">
        <w:rPr>
          <w:rFonts w:ascii="Bookman Old Style" w:hAnsi="Bookman Old Style"/>
          <w:sz w:val="28"/>
          <w:szCs w:val="28"/>
        </w:rPr>
        <w:t>. Y</w:t>
      </w:r>
      <w:r w:rsidRPr="00930B81">
        <w:rPr>
          <w:rFonts w:ascii="Bookman Old Style" w:hAnsi="Bookman Old Style"/>
          <w:sz w:val="28"/>
          <w:szCs w:val="28"/>
        </w:rPr>
        <w:t xml:space="preserve"> consideró que estaban presentes las condiciones necesarias para dictar una sentencia de mérito respecto de</w:t>
      </w:r>
      <w:r w:rsidR="00132BCD">
        <w:rPr>
          <w:rFonts w:ascii="Bookman Old Style" w:hAnsi="Bookman Old Style"/>
          <w:sz w:val="28"/>
          <w:szCs w:val="28"/>
        </w:rPr>
        <w:t xml:space="preserve"> </w:t>
      </w:r>
      <w:r w:rsidRPr="00930B81">
        <w:rPr>
          <w:rFonts w:ascii="Bookman Old Style" w:hAnsi="Bookman Old Style"/>
          <w:sz w:val="28"/>
          <w:szCs w:val="28"/>
        </w:rPr>
        <w:t>l</w:t>
      </w:r>
      <w:r w:rsidR="00132BCD">
        <w:rPr>
          <w:rFonts w:ascii="Bookman Old Style" w:hAnsi="Bookman Old Style"/>
          <w:sz w:val="28"/>
          <w:szCs w:val="28"/>
        </w:rPr>
        <w:t>os</w:t>
      </w:r>
      <w:r w:rsidRPr="00930B81">
        <w:rPr>
          <w:rFonts w:ascii="Bookman Old Style" w:hAnsi="Bookman Old Style"/>
          <w:sz w:val="28"/>
          <w:szCs w:val="28"/>
        </w:rPr>
        <w:t xml:space="preserve"> recurso</w:t>
      </w:r>
      <w:r w:rsidR="00132BCD">
        <w:rPr>
          <w:rFonts w:ascii="Bookman Old Style" w:hAnsi="Bookman Old Style"/>
          <w:sz w:val="28"/>
          <w:szCs w:val="28"/>
        </w:rPr>
        <w:t>s</w:t>
      </w:r>
      <w:r w:rsidRPr="00930B81">
        <w:rPr>
          <w:rFonts w:ascii="Bookman Old Style" w:hAnsi="Bookman Old Style"/>
          <w:sz w:val="28"/>
          <w:szCs w:val="28"/>
        </w:rPr>
        <w:t xml:space="preserve"> de alzada interpuesto</w:t>
      </w:r>
      <w:r w:rsidR="00132BCD">
        <w:rPr>
          <w:rFonts w:ascii="Bookman Old Style" w:hAnsi="Bookman Old Style"/>
          <w:sz w:val="28"/>
          <w:szCs w:val="28"/>
        </w:rPr>
        <w:t>s</w:t>
      </w:r>
      <w:r w:rsidRPr="00930B81">
        <w:rPr>
          <w:rFonts w:ascii="Bookman Old Style" w:hAnsi="Bookman Old Style"/>
          <w:sz w:val="28"/>
          <w:szCs w:val="28"/>
        </w:rPr>
        <w:t>.</w:t>
      </w:r>
    </w:p>
    <w:p w14:paraId="000514A4" w14:textId="77777777" w:rsidR="00B74FA4" w:rsidRPr="00930B81" w:rsidRDefault="00B74FA4" w:rsidP="00B74FA4">
      <w:pPr>
        <w:spacing w:line="360" w:lineRule="auto"/>
        <w:ind w:firstLine="709"/>
        <w:jc w:val="both"/>
        <w:rPr>
          <w:rFonts w:ascii="Bookman Old Style" w:hAnsi="Bookman Old Style"/>
          <w:sz w:val="28"/>
          <w:szCs w:val="28"/>
        </w:rPr>
      </w:pPr>
    </w:p>
    <w:p w14:paraId="5DF5947E" w14:textId="77777777" w:rsidR="00B74FA4" w:rsidRDefault="00B74FA4" w:rsidP="00B74FA4">
      <w:pPr>
        <w:spacing w:line="360" w:lineRule="auto"/>
        <w:ind w:firstLine="709"/>
        <w:jc w:val="both"/>
        <w:rPr>
          <w:rFonts w:ascii="Bookman Old Style" w:hAnsi="Bookman Old Style"/>
          <w:sz w:val="28"/>
          <w:szCs w:val="28"/>
        </w:rPr>
      </w:pPr>
      <w:r>
        <w:rPr>
          <w:rFonts w:ascii="Bookman Old Style" w:hAnsi="Bookman Old Style"/>
          <w:sz w:val="28"/>
          <w:szCs w:val="28"/>
        </w:rPr>
        <w:t xml:space="preserve">2. </w:t>
      </w:r>
      <w:r w:rsidR="00090DB1">
        <w:rPr>
          <w:rFonts w:ascii="Bookman Old Style" w:hAnsi="Bookman Old Style"/>
          <w:sz w:val="28"/>
          <w:szCs w:val="28"/>
        </w:rPr>
        <w:t>Abordó una de las aristas del recurso de apelación incoado por la demandada</w:t>
      </w:r>
      <w:r w:rsidR="00930262">
        <w:rPr>
          <w:rFonts w:ascii="Bookman Old Style" w:hAnsi="Bookman Old Style"/>
          <w:sz w:val="28"/>
          <w:szCs w:val="28"/>
        </w:rPr>
        <w:t>,</w:t>
      </w:r>
      <w:r w:rsidR="00090DB1">
        <w:rPr>
          <w:rFonts w:ascii="Bookman Old Style" w:hAnsi="Bookman Old Style"/>
          <w:sz w:val="28"/>
          <w:szCs w:val="28"/>
        </w:rPr>
        <w:t xml:space="preserve"> en cuanto a </w:t>
      </w:r>
      <w:r w:rsidR="00D850C9">
        <w:rPr>
          <w:rFonts w:ascii="Bookman Old Style" w:hAnsi="Bookman Old Style"/>
          <w:sz w:val="28"/>
          <w:szCs w:val="28"/>
        </w:rPr>
        <w:t xml:space="preserve">la equivocación </w:t>
      </w:r>
      <w:r w:rsidR="00090DB1">
        <w:rPr>
          <w:rFonts w:ascii="Bookman Old Style" w:hAnsi="Bookman Old Style"/>
          <w:sz w:val="28"/>
          <w:szCs w:val="28"/>
        </w:rPr>
        <w:t xml:space="preserve">de la falladora de primera instancia cuando integró </w:t>
      </w:r>
      <w:r w:rsidR="00D850C9">
        <w:rPr>
          <w:rFonts w:ascii="Bookman Old Style" w:hAnsi="Bookman Old Style"/>
          <w:sz w:val="28"/>
          <w:szCs w:val="28"/>
        </w:rPr>
        <w:t xml:space="preserve">el </w:t>
      </w:r>
      <w:r w:rsidR="00090DB1">
        <w:rPr>
          <w:rFonts w:ascii="Bookman Old Style" w:hAnsi="Bookman Old Style"/>
          <w:sz w:val="28"/>
          <w:szCs w:val="28"/>
        </w:rPr>
        <w:t>litisconsorcio necesario</w:t>
      </w:r>
      <w:r w:rsidR="00D850C9">
        <w:rPr>
          <w:rFonts w:ascii="Bookman Old Style" w:hAnsi="Bookman Old Style"/>
          <w:sz w:val="28"/>
          <w:szCs w:val="28"/>
        </w:rPr>
        <w:t xml:space="preserve"> en la parte </w:t>
      </w:r>
      <w:r w:rsidR="00891F54">
        <w:rPr>
          <w:rFonts w:ascii="Bookman Old Style" w:hAnsi="Bookman Old Style"/>
          <w:sz w:val="28"/>
          <w:szCs w:val="28"/>
        </w:rPr>
        <w:t>pasi</w:t>
      </w:r>
      <w:r w:rsidR="00D850C9">
        <w:rPr>
          <w:rFonts w:ascii="Bookman Old Style" w:hAnsi="Bookman Old Style"/>
          <w:sz w:val="28"/>
          <w:szCs w:val="28"/>
        </w:rPr>
        <w:t>va.</w:t>
      </w:r>
    </w:p>
    <w:p w14:paraId="314E9977" w14:textId="77777777" w:rsidR="00B74FA4" w:rsidRDefault="00B74FA4" w:rsidP="00B74FA4">
      <w:pPr>
        <w:spacing w:line="360" w:lineRule="auto"/>
        <w:jc w:val="both"/>
        <w:rPr>
          <w:rFonts w:ascii="Bookman Old Style" w:hAnsi="Bookman Old Style"/>
          <w:sz w:val="28"/>
          <w:szCs w:val="28"/>
        </w:rPr>
      </w:pPr>
    </w:p>
    <w:p w14:paraId="2F623CF4" w14:textId="77777777" w:rsidR="00B74FA4" w:rsidRDefault="00B74FA4" w:rsidP="00CA6ABA">
      <w:pPr>
        <w:spacing w:line="360" w:lineRule="auto"/>
        <w:ind w:firstLine="709"/>
        <w:jc w:val="both"/>
        <w:rPr>
          <w:rFonts w:ascii="Bookman Old Style" w:hAnsi="Bookman Old Style"/>
          <w:sz w:val="28"/>
          <w:szCs w:val="28"/>
        </w:rPr>
      </w:pPr>
      <w:r>
        <w:rPr>
          <w:rFonts w:ascii="Bookman Old Style" w:hAnsi="Bookman Old Style"/>
          <w:sz w:val="28"/>
          <w:szCs w:val="28"/>
        </w:rPr>
        <w:t xml:space="preserve">3. </w:t>
      </w:r>
      <w:r w:rsidR="006D7737">
        <w:rPr>
          <w:rFonts w:ascii="Bookman Old Style" w:hAnsi="Bookman Old Style"/>
          <w:sz w:val="28"/>
          <w:szCs w:val="28"/>
        </w:rPr>
        <w:t>Seguidamente</w:t>
      </w:r>
      <w:r w:rsidR="00930262">
        <w:rPr>
          <w:rFonts w:ascii="Bookman Old Style" w:hAnsi="Bookman Old Style"/>
          <w:sz w:val="28"/>
          <w:szCs w:val="28"/>
        </w:rPr>
        <w:t>,</w:t>
      </w:r>
      <w:r w:rsidR="006D7737">
        <w:rPr>
          <w:rFonts w:ascii="Bookman Old Style" w:hAnsi="Bookman Old Style"/>
          <w:sz w:val="28"/>
          <w:szCs w:val="28"/>
        </w:rPr>
        <w:t xml:space="preserve"> </w:t>
      </w:r>
      <w:r w:rsidR="00F9127E">
        <w:rPr>
          <w:rFonts w:ascii="Bookman Old Style" w:hAnsi="Bookman Old Style"/>
          <w:sz w:val="28"/>
          <w:szCs w:val="28"/>
        </w:rPr>
        <w:t xml:space="preserve">se refirió al fenómeno de la </w:t>
      </w:r>
      <w:r w:rsidR="006D7737">
        <w:rPr>
          <w:rFonts w:ascii="Bookman Old Style" w:hAnsi="Bookman Old Style"/>
          <w:sz w:val="28"/>
          <w:szCs w:val="28"/>
        </w:rPr>
        <w:t>inoponibilidad</w:t>
      </w:r>
      <w:r w:rsidR="00DB61C3">
        <w:rPr>
          <w:rFonts w:ascii="Bookman Old Style" w:hAnsi="Bookman Old Style"/>
          <w:sz w:val="28"/>
          <w:szCs w:val="28"/>
        </w:rPr>
        <w:t>.</w:t>
      </w:r>
      <w:r w:rsidR="00930262">
        <w:rPr>
          <w:rFonts w:ascii="Bookman Old Style" w:hAnsi="Bookman Old Style"/>
          <w:sz w:val="28"/>
          <w:szCs w:val="28"/>
        </w:rPr>
        <w:t xml:space="preserve"> </w:t>
      </w:r>
      <w:r w:rsidR="003D6E95">
        <w:rPr>
          <w:rFonts w:ascii="Bookman Old Style" w:hAnsi="Bookman Old Style"/>
          <w:sz w:val="28"/>
          <w:szCs w:val="28"/>
        </w:rPr>
        <w:t>Señal</w:t>
      </w:r>
      <w:r w:rsidR="00930262">
        <w:rPr>
          <w:rFonts w:ascii="Bookman Old Style" w:hAnsi="Bookman Old Style"/>
          <w:sz w:val="28"/>
          <w:szCs w:val="28"/>
        </w:rPr>
        <w:t>ó</w:t>
      </w:r>
      <w:r w:rsidR="003D6E95">
        <w:rPr>
          <w:rFonts w:ascii="Bookman Old Style" w:hAnsi="Bookman Old Style"/>
          <w:sz w:val="28"/>
          <w:szCs w:val="28"/>
        </w:rPr>
        <w:t xml:space="preserve"> la existencia de dos grandes causas que generan inoponibilidad</w:t>
      </w:r>
      <w:r w:rsidR="00930262">
        <w:rPr>
          <w:rFonts w:ascii="Bookman Old Style" w:hAnsi="Bookman Old Style"/>
          <w:sz w:val="28"/>
          <w:szCs w:val="28"/>
        </w:rPr>
        <w:t>.</w:t>
      </w:r>
      <w:r w:rsidR="003D6E95">
        <w:rPr>
          <w:rFonts w:ascii="Bookman Old Style" w:hAnsi="Bookman Old Style"/>
          <w:sz w:val="28"/>
          <w:szCs w:val="28"/>
        </w:rPr>
        <w:t xml:space="preserve"> </w:t>
      </w:r>
      <w:r w:rsidR="00930262">
        <w:rPr>
          <w:rFonts w:ascii="Bookman Old Style" w:hAnsi="Bookman Old Style"/>
          <w:sz w:val="28"/>
          <w:szCs w:val="28"/>
        </w:rPr>
        <w:t>E</w:t>
      </w:r>
      <w:r w:rsidR="003D6E95">
        <w:rPr>
          <w:rFonts w:ascii="Bookman Old Style" w:hAnsi="Bookman Old Style"/>
          <w:sz w:val="28"/>
          <w:szCs w:val="28"/>
        </w:rPr>
        <w:t>n primer lugar, la falta de legitimación negocial, prevista en la ley como presupuesto de inoponibilidad</w:t>
      </w:r>
      <w:r w:rsidR="00930262">
        <w:rPr>
          <w:rFonts w:ascii="Bookman Old Style" w:hAnsi="Bookman Old Style"/>
          <w:sz w:val="28"/>
          <w:szCs w:val="28"/>
        </w:rPr>
        <w:t>.</w:t>
      </w:r>
      <w:r w:rsidR="003D6E95">
        <w:rPr>
          <w:rFonts w:ascii="Bookman Old Style" w:hAnsi="Bookman Old Style"/>
          <w:sz w:val="28"/>
          <w:szCs w:val="28"/>
        </w:rPr>
        <w:t xml:space="preserve"> </w:t>
      </w:r>
      <w:r w:rsidR="00930262">
        <w:rPr>
          <w:rFonts w:ascii="Bookman Old Style" w:hAnsi="Bookman Old Style"/>
          <w:sz w:val="28"/>
          <w:szCs w:val="28"/>
        </w:rPr>
        <w:t>E</w:t>
      </w:r>
      <w:r w:rsidR="003D6E95">
        <w:rPr>
          <w:rFonts w:ascii="Bookman Old Style" w:hAnsi="Bookman Old Style"/>
          <w:sz w:val="28"/>
          <w:szCs w:val="28"/>
        </w:rPr>
        <w:t xml:space="preserve">n segundo lugar, la omisión de requisitos de publicidad, posteriores a la celebración, exigidos por ley con el fin de que el negocio produzca efectos frente a terceros. </w:t>
      </w:r>
    </w:p>
    <w:p w14:paraId="66C9247F" w14:textId="77777777" w:rsidR="00DB28A8" w:rsidRDefault="001676D1" w:rsidP="00E97DC4">
      <w:pPr>
        <w:spacing w:line="360" w:lineRule="auto"/>
        <w:ind w:firstLine="709"/>
        <w:jc w:val="both"/>
        <w:rPr>
          <w:rFonts w:ascii="Bookman Old Style" w:hAnsi="Bookman Old Style"/>
          <w:sz w:val="28"/>
          <w:szCs w:val="28"/>
        </w:rPr>
      </w:pPr>
      <w:r>
        <w:rPr>
          <w:rFonts w:ascii="Bookman Old Style" w:hAnsi="Bookman Old Style"/>
          <w:sz w:val="28"/>
          <w:szCs w:val="28"/>
        </w:rPr>
        <w:t>4</w:t>
      </w:r>
      <w:r w:rsidR="00B74FA4">
        <w:rPr>
          <w:rFonts w:ascii="Bookman Old Style" w:hAnsi="Bookman Old Style"/>
          <w:sz w:val="28"/>
          <w:szCs w:val="28"/>
        </w:rPr>
        <w:t xml:space="preserve">. </w:t>
      </w:r>
      <w:r w:rsidR="003D6E95">
        <w:rPr>
          <w:rFonts w:ascii="Bookman Old Style" w:hAnsi="Bookman Old Style"/>
          <w:sz w:val="28"/>
          <w:szCs w:val="28"/>
        </w:rPr>
        <w:t xml:space="preserve">Afirmó </w:t>
      </w:r>
      <w:r w:rsidR="00DB28A8">
        <w:rPr>
          <w:rFonts w:ascii="Bookman Old Style" w:hAnsi="Bookman Old Style"/>
          <w:sz w:val="28"/>
          <w:szCs w:val="28"/>
        </w:rPr>
        <w:t xml:space="preserve">que, por lo general, la inoponibilidad no requiere de declaración judicial, ya que simplemente el negocio no produce efecto alguno </w:t>
      </w:r>
      <w:r w:rsidR="00341DDE">
        <w:rPr>
          <w:rFonts w:ascii="Bookman Old Style" w:hAnsi="Bookman Old Style"/>
          <w:sz w:val="28"/>
          <w:szCs w:val="28"/>
        </w:rPr>
        <w:t>frente a</w:t>
      </w:r>
      <w:r w:rsidR="00DB28A8">
        <w:rPr>
          <w:rFonts w:ascii="Bookman Old Style" w:hAnsi="Bookman Old Style"/>
          <w:sz w:val="28"/>
          <w:szCs w:val="28"/>
        </w:rPr>
        <w:t xml:space="preserve"> terceros</w:t>
      </w:r>
      <w:r w:rsidR="00561EB3">
        <w:rPr>
          <w:rFonts w:ascii="Bookman Old Style" w:hAnsi="Bookman Old Style"/>
          <w:sz w:val="28"/>
          <w:szCs w:val="28"/>
        </w:rPr>
        <w:t>.</w:t>
      </w:r>
      <w:r w:rsidR="00E97DC4">
        <w:rPr>
          <w:rFonts w:ascii="Bookman Old Style" w:hAnsi="Bookman Old Style"/>
          <w:sz w:val="28"/>
          <w:szCs w:val="28"/>
        </w:rPr>
        <w:t xml:space="preserve"> </w:t>
      </w:r>
      <w:r w:rsidR="00561EB3">
        <w:rPr>
          <w:rFonts w:ascii="Bookman Old Style" w:hAnsi="Bookman Old Style"/>
          <w:sz w:val="28"/>
          <w:szCs w:val="28"/>
        </w:rPr>
        <w:t xml:space="preserve">En este orden de ideas, el </w:t>
      </w:r>
      <w:r w:rsidR="00E97DC4">
        <w:rPr>
          <w:rFonts w:ascii="Bookman Old Style" w:hAnsi="Bookman Old Style"/>
          <w:sz w:val="28"/>
          <w:szCs w:val="28"/>
        </w:rPr>
        <w:t>T</w:t>
      </w:r>
      <w:r w:rsidR="00561EB3">
        <w:rPr>
          <w:rFonts w:ascii="Bookman Old Style" w:hAnsi="Bookman Old Style"/>
          <w:sz w:val="28"/>
          <w:szCs w:val="28"/>
        </w:rPr>
        <w:t xml:space="preserve">ribunal, refiriéndose al heredero, </w:t>
      </w:r>
      <w:r w:rsidR="00561EB3">
        <w:rPr>
          <w:rFonts w:ascii="Bookman Old Style" w:hAnsi="Bookman Old Style"/>
          <w:sz w:val="28"/>
          <w:szCs w:val="28"/>
        </w:rPr>
        <w:lastRenderedPageBreak/>
        <w:t>enfatiza que «</w:t>
      </w:r>
      <w:r w:rsidR="00561EB3">
        <w:rPr>
          <w:rFonts w:ascii="Bookman Old Style" w:hAnsi="Bookman Old Style"/>
          <w:i/>
          <w:sz w:val="24"/>
          <w:szCs w:val="24"/>
        </w:rPr>
        <w:t>no tiene cosa distinta qu</w:t>
      </w:r>
      <w:r w:rsidR="00EF7130">
        <w:rPr>
          <w:rFonts w:ascii="Bookman Old Style" w:hAnsi="Bookman Old Style"/>
          <w:i/>
          <w:sz w:val="24"/>
          <w:szCs w:val="24"/>
        </w:rPr>
        <w:t>e</w:t>
      </w:r>
      <w:r w:rsidR="00561EB3">
        <w:rPr>
          <w:rFonts w:ascii="Bookman Old Style" w:hAnsi="Bookman Old Style"/>
          <w:i/>
          <w:sz w:val="24"/>
          <w:szCs w:val="24"/>
        </w:rPr>
        <w:t xml:space="preserve"> hacer que la de ejercer su derecho de pedir el reconocimiento de su calidad dentro del sucesorio e inventariar los bienes de la sociedad conyugal, para lo cual no podría impedírselo un acto del causante que haya dicho lo contrario»</w:t>
      </w:r>
      <w:r w:rsidR="00E97DC4">
        <w:rPr>
          <w:rFonts w:ascii="Bookman Old Style" w:hAnsi="Bookman Old Style"/>
          <w:i/>
          <w:sz w:val="24"/>
          <w:szCs w:val="24"/>
        </w:rPr>
        <w:t>.</w:t>
      </w:r>
      <w:r w:rsidR="00561EB3">
        <w:rPr>
          <w:rFonts w:ascii="Bookman Old Style" w:hAnsi="Bookman Old Style"/>
          <w:i/>
          <w:sz w:val="24"/>
          <w:szCs w:val="24"/>
        </w:rPr>
        <w:t xml:space="preserve"> </w:t>
      </w:r>
      <w:r w:rsidR="00E97DC4">
        <w:rPr>
          <w:rFonts w:ascii="Bookman Old Style" w:hAnsi="Bookman Old Style"/>
          <w:sz w:val="28"/>
          <w:szCs w:val="28"/>
        </w:rPr>
        <w:t>R</w:t>
      </w:r>
      <w:r w:rsidR="00561EB3">
        <w:rPr>
          <w:rFonts w:ascii="Bookman Old Style" w:hAnsi="Bookman Old Style"/>
          <w:sz w:val="28"/>
          <w:szCs w:val="28"/>
        </w:rPr>
        <w:t>eiter</w:t>
      </w:r>
      <w:r w:rsidR="00E97DC4">
        <w:rPr>
          <w:rFonts w:ascii="Bookman Old Style" w:hAnsi="Bookman Old Style"/>
          <w:sz w:val="28"/>
          <w:szCs w:val="28"/>
        </w:rPr>
        <w:t>ó</w:t>
      </w:r>
      <w:r w:rsidR="00561EB3">
        <w:rPr>
          <w:rFonts w:ascii="Bookman Old Style" w:hAnsi="Bookman Old Style"/>
          <w:sz w:val="28"/>
          <w:szCs w:val="28"/>
        </w:rPr>
        <w:t xml:space="preserve"> </w:t>
      </w:r>
      <w:r w:rsidR="00624D2F">
        <w:rPr>
          <w:rFonts w:ascii="Bookman Old Style" w:hAnsi="Bookman Old Style"/>
          <w:sz w:val="28"/>
          <w:szCs w:val="28"/>
        </w:rPr>
        <w:t>que,</w:t>
      </w:r>
      <w:r w:rsidR="00561EB3">
        <w:rPr>
          <w:rFonts w:ascii="Bookman Old Style" w:hAnsi="Bookman Old Style"/>
          <w:sz w:val="28"/>
          <w:szCs w:val="28"/>
        </w:rPr>
        <w:t xml:space="preserve"> en el caso de los herederos, lo que le corresponde es reclamar su derecho de herencia.  </w:t>
      </w:r>
      <w:r w:rsidR="00561EB3">
        <w:rPr>
          <w:rFonts w:ascii="Bookman Old Style" w:hAnsi="Bookman Old Style"/>
          <w:i/>
          <w:sz w:val="24"/>
          <w:szCs w:val="24"/>
        </w:rPr>
        <w:t xml:space="preserve"> </w:t>
      </w:r>
      <w:r w:rsidR="00DB28A8">
        <w:rPr>
          <w:rFonts w:ascii="Bookman Old Style" w:hAnsi="Bookman Old Style"/>
          <w:sz w:val="28"/>
          <w:szCs w:val="28"/>
        </w:rPr>
        <w:t xml:space="preserve"> </w:t>
      </w:r>
    </w:p>
    <w:p w14:paraId="4D89FD65" w14:textId="77777777" w:rsidR="00B74FA4" w:rsidRDefault="00B74FA4" w:rsidP="00B74FA4">
      <w:pPr>
        <w:spacing w:line="360" w:lineRule="auto"/>
        <w:jc w:val="both"/>
        <w:rPr>
          <w:rFonts w:ascii="Bookman Old Style" w:hAnsi="Bookman Old Style"/>
          <w:sz w:val="28"/>
          <w:szCs w:val="28"/>
        </w:rPr>
      </w:pPr>
    </w:p>
    <w:p w14:paraId="41CADCB0" w14:textId="77777777" w:rsidR="00B74FA4" w:rsidRDefault="001676D1" w:rsidP="00B74FA4">
      <w:pPr>
        <w:spacing w:line="360" w:lineRule="auto"/>
        <w:ind w:firstLine="709"/>
        <w:jc w:val="both"/>
        <w:rPr>
          <w:rFonts w:ascii="Bookman Old Style" w:hAnsi="Bookman Old Style"/>
          <w:sz w:val="28"/>
          <w:szCs w:val="28"/>
        </w:rPr>
      </w:pPr>
      <w:r>
        <w:rPr>
          <w:rFonts w:ascii="Bookman Old Style" w:hAnsi="Bookman Old Style"/>
          <w:sz w:val="28"/>
          <w:szCs w:val="28"/>
        </w:rPr>
        <w:t>5</w:t>
      </w:r>
      <w:r w:rsidR="00B74FA4">
        <w:rPr>
          <w:rFonts w:ascii="Bookman Old Style" w:hAnsi="Bookman Old Style"/>
          <w:sz w:val="28"/>
          <w:szCs w:val="28"/>
        </w:rPr>
        <w:t xml:space="preserve">. </w:t>
      </w:r>
      <w:r w:rsidR="004E7C00">
        <w:rPr>
          <w:rFonts w:ascii="Bookman Old Style" w:hAnsi="Bookman Old Style"/>
          <w:sz w:val="28"/>
          <w:szCs w:val="28"/>
        </w:rPr>
        <w:t>E</w:t>
      </w:r>
      <w:r w:rsidR="00E97DC4">
        <w:rPr>
          <w:rFonts w:ascii="Bookman Old Style" w:hAnsi="Bookman Old Style"/>
          <w:sz w:val="28"/>
          <w:szCs w:val="28"/>
        </w:rPr>
        <w:t>l análisis</w:t>
      </w:r>
      <w:r w:rsidR="004E56FE">
        <w:rPr>
          <w:rFonts w:ascii="Bookman Old Style" w:hAnsi="Bookman Old Style"/>
          <w:sz w:val="28"/>
          <w:szCs w:val="28"/>
        </w:rPr>
        <w:t xml:space="preserve"> </w:t>
      </w:r>
      <w:r w:rsidR="004E56FE">
        <w:rPr>
          <w:rFonts w:ascii="Bookman Old Style" w:hAnsi="Bookman Old Style"/>
          <w:i/>
          <w:sz w:val="28"/>
          <w:szCs w:val="28"/>
        </w:rPr>
        <w:t xml:space="preserve">sub examine </w:t>
      </w:r>
      <w:r w:rsidR="00E97DC4">
        <w:rPr>
          <w:rFonts w:ascii="Bookman Old Style" w:hAnsi="Bookman Old Style"/>
          <w:sz w:val="28"/>
          <w:szCs w:val="28"/>
        </w:rPr>
        <w:t xml:space="preserve">se asentó </w:t>
      </w:r>
      <w:r w:rsidR="004A3FF7">
        <w:rPr>
          <w:rFonts w:ascii="Bookman Old Style" w:hAnsi="Bookman Old Style"/>
          <w:sz w:val="28"/>
          <w:szCs w:val="28"/>
        </w:rPr>
        <w:t>en</w:t>
      </w:r>
      <w:r w:rsidR="00E97DC4">
        <w:rPr>
          <w:rFonts w:ascii="Bookman Old Style" w:hAnsi="Bookman Old Style"/>
          <w:sz w:val="28"/>
          <w:szCs w:val="28"/>
        </w:rPr>
        <w:t xml:space="preserve"> las siguientes</w:t>
      </w:r>
      <w:r w:rsidR="004A3FF7">
        <w:rPr>
          <w:rFonts w:ascii="Bookman Old Style" w:hAnsi="Bookman Old Style"/>
          <w:sz w:val="28"/>
          <w:szCs w:val="28"/>
        </w:rPr>
        <w:t xml:space="preserve"> tres </w:t>
      </w:r>
      <w:r w:rsidR="00E97DC4">
        <w:rPr>
          <w:rFonts w:ascii="Bookman Old Style" w:hAnsi="Bookman Old Style"/>
          <w:sz w:val="28"/>
          <w:szCs w:val="28"/>
        </w:rPr>
        <w:t>conclusiones</w:t>
      </w:r>
      <w:r w:rsidR="004A3FF7">
        <w:rPr>
          <w:rFonts w:ascii="Bookman Old Style" w:hAnsi="Bookman Old Style"/>
          <w:sz w:val="28"/>
          <w:szCs w:val="28"/>
        </w:rPr>
        <w:t>:</w:t>
      </w:r>
    </w:p>
    <w:p w14:paraId="1E813357" w14:textId="77777777" w:rsidR="008A56BC" w:rsidRDefault="008A56BC" w:rsidP="00B74FA4">
      <w:pPr>
        <w:spacing w:line="360" w:lineRule="auto"/>
        <w:ind w:firstLine="709"/>
        <w:jc w:val="both"/>
        <w:rPr>
          <w:rFonts w:ascii="Bookman Old Style" w:hAnsi="Bookman Old Style"/>
          <w:sz w:val="28"/>
          <w:szCs w:val="28"/>
        </w:rPr>
      </w:pPr>
    </w:p>
    <w:p w14:paraId="5D9B5D8E" w14:textId="77777777" w:rsidR="004A3FF7" w:rsidRDefault="004A3FF7" w:rsidP="00B74FA4">
      <w:pPr>
        <w:spacing w:line="360" w:lineRule="auto"/>
        <w:ind w:firstLine="709"/>
        <w:jc w:val="both"/>
        <w:rPr>
          <w:rFonts w:ascii="Bookman Old Style" w:hAnsi="Bookman Old Style"/>
          <w:sz w:val="28"/>
          <w:szCs w:val="28"/>
        </w:rPr>
      </w:pPr>
      <w:r>
        <w:rPr>
          <w:rFonts w:ascii="Bookman Old Style" w:hAnsi="Bookman Old Style"/>
          <w:sz w:val="28"/>
          <w:szCs w:val="28"/>
        </w:rPr>
        <w:t xml:space="preserve">(i) </w:t>
      </w:r>
      <w:r w:rsidR="008A56BC">
        <w:rPr>
          <w:rFonts w:ascii="Bookman Old Style" w:hAnsi="Bookman Old Style"/>
          <w:sz w:val="28"/>
          <w:szCs w:val="28"/>
        </w:rPr>
        <w:t>El demandante no es exactamente un tercero</w:t>
      </w:r>
      <w:r w:rsidR="00AF7C10">
        <w:rPr>
          <w:rFonts w:ascii="Bookman Old Style" w:hAnsi="Bookman Old Style"/>
          <w:sz w:val="28"/>
          <w:szCs w:val="28"/>
        </w:rPr>
        <w:t>.</w:t>
      </w:r>
    </w:p>
    <w:p w14:paraId="2C60FF55" w14:textId="77777777" w:rsidR="00AF7C10" w:rsidRDefault="00AF7C10" w:rsidP="00B74FA4">
      <w:pPr>
        <w:spacing w:line="360" w:lineRule="auto"/>
        <w:ind w:firstLine="709"/>
        <w:jc w:val="both"/>
        <w:rPr>
          <w:rFonts w:ascii="Bookman Old Style" w:hAnsi="Bookman Old Style"/>
          <w:sz w:val="28"/>
          <w:szCs w:val="28"/>
        </w:rPr>
      </w:pPr>
    </w:p>
    <w:p w14:paraId="20302531" w14:textId="77777777" w:rsidR="00812235" w:rsidRDefault="00AF7C10" w:rsidP="00B74FA4">
      <w:pPr>
        <w:spacing w:line="360" w:lineRule="auto"/>
        <w:ind w:firstLine="709"/>
        <w:jc w:val="both"/>
        <w:rPr>
          <w:rFonts w:ascii="Bookman Old Style" w:hAnsi="Bookman Old Style"/>
          <w:sz w:val="28"/>
          <w:szCs w:val="28"/>
        </w:rPr>
      </w:pPr>
      <w:r>
        <w:rPr>
          <w:rFonts w:ascii="Bookman Old Style" w:hAnsi="Bookman Old Style"/>
          <w:sz w:val="28"/>
          <w:szCs w:val="28"/>
        </w:rPr>
        <w:t xml:space="preserve">(ii) </w:t>
      </w:r>
      <w:r w:rsidR="00E97DC4">
        <w:rPr>
          <w:rFonts w:ascii="Bookman Old Style" w:hAnsi="Bookman Old Style"/>
          <w:sz w:val="28"/>
          <w:szCs w:val="28"/>
        </w:rPr>
        <w:t>En el caso concreto, la</w:t>
      </w:r>
      <w:r w:rsidR="00BC6B56">
        <w:rPr>
          <w:rFonts w:ascii="Bookman Old Style" w:hAnsi="Bookman Old Style"/>
          <w:sz w:val="28"/>
          <w:szCs w:val="28"/>
        </w:rPr>
        <w:t xml:space="preserve"> inoponibilidad </w:t>
      </w:r>
      <w:r w:rsidR="00E97DC4">
        <w:rPr>
          <w:rFonts w:ascii="Bookman Old Style" w:hAnsi="Bookman Old Style"/>
          <w:sz w:val="28"/>
          <w:szCs w:val="28"/>
        </w:rPr>
        <w:t>resultaría</w:t>
      </w:r>
      <w:r w:rsidR="00BC6B56">
        <w:rPr>
          <w:rFonts w:ascii="Bookman Old Style" w:hAnsi="Bookman Old Style"/>
          <w:sz w:val="28"/>
          <w:szCs w:val="28"/>
        </w:rPr>
        <w:t xml:space="preserve"> inane</w:t>
      </w:r>
      <w:r w:rsidR="00E97DC4">
        <w:rPr>
          <w:rFonts w:ascii="Bookman Old Style" w:hAnsi="Bookman Old Style"/>
          <w:sz w:val="28"/>
          <w:szCs w:val="28"/>
        </w:rPr>
        <w:t>: sus efectos se proyectan frente a terceros -que no respecto de las partes-</w:t>
      </w:r>
      <w:r w:rsidR="00BC6B56">
        <w:rPr>
          <w:rFonts w:ascii="Bookman Old Style" w:hAnsi="Bookman Old Style"/>
          <w:sz w:val="28"/>
          <w:szCs w:val="28"/>
        </w:rPr>
        <w:t>.</w:t>
      </w:r>
    </w:p>
    <w:p w14:paraId="720F7CF3" w14:textId="77777777" w:rsidR="00812235" w:rsidRDefault="00812235" w:rsidP="00B74FA4">
      <w:pPr>
        <w:spacing w:line="360" w:lineRule="auto"/>
        <w:ind w:firstLine="709"/>
        <w:jc w:val="both"/>
        <w:rPr>
          <w:rFonts w:ascii="Bookman Old Style" w:hAnsi="Bookman Old Style"/>
          <w:sz w:val="28"/>
          <w:szCs w:val="28"/>
        </w:rPr>
      </w:pPr>
    </w:p>
    <w:p w14:paraId="5739604D" w14:textId="77777777" w:rsidR="004C0C75" w:rsidRDefault="00812235" w:rsidP="00D31F30">
      <w:pPr>
        <w:spacing w:line="360" w:lineRule="auto"/>
        <w:ind w:firstLine="709"/>
        <w:jc w:val="both"/>
        <w:rPr>
          <w:rFonts w:ascii="Bookman Old Style" w:hAnsi="Bookman Old Style"/>
          <w:sz w:val="28"/>
          <w:szCs w:val="28"/>
        </w:rPr>
      </w:pPr>
      <w:r>
        <w:rPr>
          <w:rFonts w:ascii="Bookman Old Style" w:hAnsi="Bookman Old Style"/>
          <w:sz w:val="28"/>
          <w:szCs w:val="28"/>
        </w:rPr>
        <w:t xml:space="preserve">(iii) </w:t>
      </w:r>
      <w:r w:rsidR="00E97DC4">
        <w:rPr>
          <w:rFonts w:ascii="Bookman Old Style" w:hAnsi="Bookman Old Style"/>
          <w:sz w:val="28"/>
          <w:szCs w:val="28"/>
        </w:rPr>
        <w:t>L</w:t>
      </w:r>
      <w:r>
        <w:rPr>
          <w:rFonts w:ascii="Bookman Old Style" w:hAnsi="Bookman Old Style"/>
          <w:sz w:val="28"/>
          <w:szCs w:val="28"/>
        </w:rPr>
        <w:t xml:space="preserve">a pretensión de inoponibilidad del </w:t>
      </w:r>
      <w:r w:rsidR="00EF75C8">
        <w:rPr>
          <w:rFonts w:ascii="Bookman Old Style" w:hAnsi="Bookman Old Style"/>
          <w:sz w:val="28"/>
          <w:szCs w:val="28"/>
        </w:rPr>
        <w:t>negocio</w:t>
      </w:r>
      <w:r>
        <w:rPr>
          <w:rFonts w:ascii="Bookman Old Style" w:hAnsi="Bookman Old Style"/>
          <w:sz w:val="28"/>
          <w:szCs w:val="28"/>
        </w:rPr>
        <w:t xml:space="preserve"> jurídico de renuncia de</w:t>
      </w:r>
      <w:r w:rsidR="005E4015">
        <w:rPr>
          <w:rFonts w:ascii="Bookman Old Style" w:hAnsi="Bookman Old Style"/>
          <w:sz w:val="28"/>
          <w:szCs w:val="28"/>
        </w:rPr>
        <w:t>l derecho a</w:t>
      </w:r>
      <w:r>
        <w:rPr>
          <w:rFonts w:ascii="Bookman Old Style" w:hAnsi="Bookman Old Style"/>
          <w:sz w:val="28"/>
          <w:szCs w:val="28"/>
        </w:rPr>
        <w:t xml:space="preserve"> gananciales </w:t>
      </w:r>
      <w:r w:rsidR="00E97DC4">
        <w:rPr>
          <w:rFonts w:ascii="Bookman Old Style" w:hAnsi="Bookman Old Style"/>
          <w:sz w:val="28"/>
          <w:szCs w:val="28"/>
        </w:rPr>
        <w:t xml:space="preserve">no </w:t>
      </w:r>
      <w:r>
        <w:rPr>
          <w:rFonts w:ascii="Bookman Old Style" w:hAnsi="Bookman Old Style"/>
          <w:sz w:val="28"/>
          <w:szCs w:val="28"/>
        </w:rPr>
        <w:t>es</w:t>
      </w:r>
      <w:r w:rsidR="00E97DC4">
        <w:rPr>
          <w:rFonts w:ascii="Bookman Old Style" w:hAnsi="Bookman Old Style"/>
          <w:sz w:val="28"/>
          <w:szCs w:val="28"/>
        </w:rPr>
        <w:t xml:space="preserve"> la herramienta </w:t>
      </w:r>
      <w:r>
        <w:rPr>
          <w:rFonts w:ascii="Bookman Old Style" w:hAnsi="Bookman Old Style"/>
          <w:sz w:val="28"/>
          <w:szCs w:val="28"/>
        </w:rPr>
        <w:t>idónea para deshacer las consecuencias</w:t>
      </w:r>
      <w:r w:rsidR="00BC6B56">
        <w:rPr>
          <w:rFonts w:ascii="Bookman Old Style" w:hAnsi="Bookman Old Style"/>
          <w:sz w:val="28"/>
          <w:szCs w:val="28"/>
        </w:rPr>
        <w:t xml:space="preserve"> </w:t>
      </w:r>
      <w:r>
        <w:rPr>
          <w:rFonts w:ascii="Bookman Old Style" w:hAnsi="Bookman Old Style"/>
          <w:sz w:val="28"/>
          <w:szCs w:val="28"/>
        </w:rPr>
        <w:t>jurídicas derivadas de</w:t>
      </w:r>
      <w:r w:rsidR="00405688">
        <w:rPr>
          <w:rFonts w:ascii="Bookman Old Style" w:hAnsi="Bookman Old Style"/>
          <w:sz w:val="28"/>
          <w:szCs w:val="28"/>
        </w:rPr>
        <w:t xml:space="preserve"> este</w:t>
      </w:r>
      <w:r w:rsidR="00E97DC4">
        <w:rPr>
          <w:rFonts w:ascii="Bookman Old Style" w:hAnsi="Bookman Old Style"/>
          <w:sz w:val="28"/>
          <w:szCs w:val="28"/>
        </w:rPr>
        <w:t xml:space="preserve"> relatado acto jurídico</w:t>
      </w:r>
      <w:r w:rsidR="009955B9">
        <w:rPr>
          <w:rFonts w:ascii="Bookman Old Style" w:hAnsi="Bookman Old Style"/>
          <w:sz w:val="28"/>
          <w:szCs w:val="28"/>
        </w:rPr>
        <w:t>.</w:t>
      </w:r>
      <w:r w:rsidR="009955B9" w:rsidRPr="009955B9">
        <w:rPr>
          <w:rFonts w:ascii="Bookman Old Style" w:hAnsi="Bookman Old Style"/>
          <w:sz w:val="28"/>
          <w:szCs w:val="28"/>
        </w:rPr>
        <w:t xml:space="preserve"> </w:t>
      </w:r>
    </w:p>
    <w:p w14:paraId="4F3044B6" w14:textId="77777777" w:rsidR="004C0C75" w:rsidRDefault="004C0C75" w:rsidP="00B74FA4">
      <w:pPr>
        <w:spacing w:line="360" w:lineRule="auto"/>
        <w:jc w:val="both"/>
        <w:rPr>
          <w:rFonts w:ascii="Bookman Old Style" w:hAnsi="Bookman Old Style"/>
          <w:sz w:val="28"/>
          <w:szCs w:val="28"/>
        </w:rPr>
      </w:pPr>
    </w:p>
    <w:p w14:paraId="09C8D2B0" w14:textId="77777777" w:rsidR="00B74FA4" w:rsidRPr="003F010A" w:rsidRDefault="00B74FA4" w:rsidP="00B74FA4">
      <w:pPr>
        <w:spacing w:line="360" w:lineRule="auto"/>
        <w:jc w:val="center"/>
        <w:rPr>
          <w:rFonts w:ascii="Bookman Old Style" w:eastAsia="Times New Roman" w:hAnsi="Bookman Old Style" w:cs="Arial"/>
          <w:b/>
          <w:sz w:val="28"/>
          <w:szCs w:val="28"/>
        </w:rPr>
      </w:pPr>
      <w:r w:rsidRPr="003F010A">
        <w:rPr>
          <w:rFonts w:ascii="Bookman Old Style" w:eastAsia="Times New Roman" w:hAnsi="Bookman Old Style" w:cs="Arial"/>
          <w:b/>
          <w:sz w:val="28"/>
          <w:szCs w:val="28"/>
        </w:rPr>
        <w:t>LA DEMANDA DE CASACIÓN</w:t>
      </w:r>
    </w:p>
    <w:p w14:paraId="784751DF" w14:textId="77777777" w:rsidR="00B74FA4" w:rsidRPr="003F010A" w:rsidRDefault="00B74FA4" w:rsidP="00B74FA4">
      <w:pPr>
        <w:spacing w:line="360" w:lineRule="auto"/>
        <w:jc w:val="both"/>
        <w:rPr>
          <w:rFonts w:ascii="Bookman Old Style" w:eastAsia="Times New Roman" w:hAnsi="Bookman Old Style" w:cs="Arial"/>
          <w:sz w:val="28"/>
          <w:szCs w:val="28"/>
        </w:rPr>
      </w:pPr>
    </w:p>
    <w:p w14:paraId="631CD118" w14:textId="77777777" w:rsidR="00B74FA4" w:rsidRDefault="00B74FA4" w:rsidP="00AA1B7E">
      <w:pPr>
        <w:spacing w:line="360" w:lineRule="auto"/>
        <w:ind w:firstLine="709"/>
        <w:jc w:val="both"/>
        <w:rPr>
          <w:rFonts w:ascii="Bookman Old Style" w:hAnsi="Bookman Old Style"/>
          <w:sz w:val="28"/>
          <w:szCs w:val="28"/>
        </w:rPr>
      </w:pPr>
      <w:r w:rsidRPr="00CE392D">
        <w:rPr>
          <w:rFonts w:ascii="Bookman Old Style" w:hAnsi="Bookman Old Style"/>
          <w:sz w:val="28"/>
          <w:szCs w:val="28"/>
        </w:rPr>
        <w:t xml:space="preserve">La parte </w:t>
      </w:r>
      <w:r>
        <w:rPr>
          <w:rFonts w:ascii="Bookman Old Style" w:hAnsi="Bookman Old Style"/>
          <w:sz w:val="28"/>
          <w:szCs w:val="28"/>
        </w:rPr>
        <w:t>demandante</w:t>
      </w:r>
      <w:r w:rsidR="009343C9">
        <w:rPr>
          <w:rFonts w:ascii="Bookman Old Style" w:hAnsi="Bookman Old Style"/>
          <w:sz w:val="28"/>
          <w:szCs w:val="28"/>
        </w:rPr>
        <w:t>, quien es la recurrente,</w:t>
      </w:r>
      <w:r>
        <w:rPr>
          <w:rFonts w:ascii="Bookman Old Style" w:hAnsi="Bookman Old Style"/>
          <w:sz w:val="28"/>
          <w:szCs w:val="28"/>
        </w:rPr>
        <w:t xml:space="preserve"> formuló dos cargos con fundamento en la causal primera del artículo 368 del CPC</w:t>
      </w:r>
      <w:r w:rsidR="00E754EF">
        <w:rPr>
          <w:rFonts w:ascii="Bookman Old Style" w:hAnsi="Bookman Old Style"/>
          <w:sz w:val="28"/>
          <w:szCs w:val="28"/>
        </w:rPr>
        <w:t>.</w:t>
      </w:r>
      <w:r>
        <w:rPr>
          <w:rFonts w:ascii="Bookman Old Style" w:hAnsi="Bookman Old Style"/>
          <w:sz w:val="28"/>
          <w:szCs w:val="28"/>
        </w:rPr>
        <w:t xml:space="preserve"> </w:t>
      </w:r>
      <w:r w:rsidR="00E754EF">
        <w:rPr>
          <w:rFonts w:ascii="Bookman Old Style" w:hAnsi="Bookman Old Style"/>
          <w:sz w:val="28"/>
          <w:szCs w:val="28"/>
        </w:rPr>
        <w:t>A</w:t>
      </w:r>
      <w:r w:rsidR="004464A4">
        <w:rPr>
          <w:rFonts w:ascii="Bookman Old Style" w:hAnsi="Bookman Old Style"/>
          <w:sz w:val="28"/>
          <w:szCs w:val="28"/>
        </w:rPr>
        <w:t xml:space="preserve">mbos por la vía directa. Por el </w:t>
      </w:r>
      <w:r>
        <w:rPr>
          <w:rFonts w:ascii="Bookman Old Style" w:hAnsi="Bookman Old Style"/>
          <w:sz w:val="28"/>
          <w:szCs w:val="28"/>
        </w:rPr>
        <w:t>primero</w:t>
      </w:r>
      <w:r w:rsidR="00E754EF">
        <w:rPr>
          <w:rFonts w:ascii="Bookman Old Style" w:hAnsi="Bookman Old Style"/>
          <w:sz w:val="28"/>
          <w:szCs w:val="28"/>
        </w:rPr>
        <w:t>,</w:t>
      </w:r>
      <w:r>
        <w:rPr>
          <w:rFonts w:ascii="Bookman Old Style" w:hAnsi="Bookman Old Style"/>
          <w:sz w:val="28"/>
          <w:szCs w:val="28"/>
        </w:rPr>
        <w:t xml:space="preserve"> </w:t>
      </w:r>
      <w:r w:rsidR="004464A4">
        <w:rPr>
          <w:rFonts w:ascii="Bookman Old Style" w:hAnsi="Bookman Old Style"/>
          <w:sz w:val="28"/>
          <w:szCs w:val="28"/>
        </w:rPr>
        <w:t xml:space="preserve">se acusa a la sentencia del tribunal de aplicar indebidamente el artículo 1155 del </w:t>
      </w:r>
      <w:r>
        <w:rPr>
          <w:rFonts w:ascii="Bookman Old Style" w:hAnsi="Bookman Old Style"/>
          <w:sz w:val="28"/>
          <w:szCs w:val="28"/>
        </w:rPr>
        <w:t>Código Civil</w:t>
      </w:r>
      <w:r w:rsidR="004464A4">
        <w:rPr>
          <w:rFonts w:ascii="Bookman Old Style" w:hAnsi="Bookman Old Style"/>
          <w:sz w:val="28"/>
          <w:szCs w:val="28"/>
        </w:rPr>
        <w:t xml:space="preserve"> y de falta de aplicación de los artículos 1</w:t>
      </w:r>
      <w:r w:rsidR="00C32B77">
        <w:rPr>
          <w:rFonts w:ascii="Bookman Old Style" w:hAnsi="Bookman Old Style"/>
          <w:sz w:val="28"/>
          <w:szCs w:val="28"/>
        </w:rPr>
        <w:t>7</w:t>
      </w:r>
      <w:r w:rsidR="004464A4">
        <w:rPr>
          <w:rFonts w:ascii="Bookman Old Style" w:hAnsi="Bookman Old Style"/>
          <w:sz w:val="28"/>
          <w:szCs w:val="28"/>
        </w:rPr>
        <w:t xml:space="preserve">75 (modificado por el artículo 61 del Decreto 2820 de 1974); 1040 y 1045 (modificados </w:t>
      </w:r>
      <w:r w:rsidR="004464A4">
        <w:rPr>
          <w:rFonts w:ascii="Bookman Old Style" w:hAnsi="Bookman Old Style"/>
          <w:sz w:val="28"/>
          <w:szCs w:val="28"/>
        </w:rPr>
        <w:lastRenderedPageBreak/>
        <w:t>por los artículos 2 y 4 de la Ley 29 de 1982); numeral 3 del artículo 1226, 1244 y 1245, todos del Código Civil. En el segundo cargo</w:t>
      </w:r>
      <w:r w:rsidR="007A6D81">
        <w:rPr>
          <w:rFonts w:ascii="Bookman Old Style" w:hAnsi="Bookman Old Style"/>
          <w:sz w:val="28"/>
          <w:szCs w:val="28"/>
        </w:rPr>
        <w:t>,</w:t>
      </w:r>
      <w:r w:rsidR="004464A4">
        <w:rPr>
          <w:rFonts w:ascii="Bookman Old Style" w:hAnsi="Bookman Old Style"/>
          <w:sz w:val="28"/>
          <w:szCs w:val="28"/>
        </w:rPr>
        <w:t xml:space="preserve"> se alega la violación directa del artículo</w:t>
      </w:r>
      <w:r w:rsidR="00C32B77">
        <w:rPr>
          <w:rFonts w:ascii="Bookman Old Style" w:hAnsi="Bookman Old Style"/>
          <w:sz w:val="28"/>
          <w:szCs w:val="28"/>
        </w:rPr>
        <w:t xml:space="preserve"> 1775 del Código Civil</w:t>
      </w:r>
      <w:r w:rsidR="00F16B08">
        <w:rPr>
          <w:rFonts w:ascii="Bookman Old Style" w:hAnsi="Bookman Old Style"/>
          <w:sz w:val="28"/>
          <w:szCs w:val="28"/>
        </w:rPr>
        <w:t xml:space="preserve"> (modificado por </w:t>
      </w:r>
      <w:r w:rsidR="00136CB9">
        <w:rPr>
          <w:rFonts w:ascii="Bookman Old Style" w:hAnsi="Bookman Old Style"/>
          <w:sz w:val="28"/>
          <w:szCs w:val="28"/>
        </w:rPr>
        <w:t>el artículo</w:t>
      </w:r>
      <w:r w:rsidR="00F16B08">
        <w:rPr>
          <w:rFonts w:ascii="Bookman Old Style" w:hAnsi="Bookman Old Style"/>
          <w:sz w:val="28"/>
          <w:szCs w:val="28"/>
        </w:rPr>
        <w:t xml:space="preserve"> 61 del Decreto 2820 de 1974) por interpretación errónea, existiendo entre ellos puntos comunes en la argumentación que los sustentan</w:t>
      </w:r>
      <w:r>
        <w:rPr>
          <w:rFonts w:ascii="Bookman Old Style" w:hAnsi="Bookman Old Style"/>
          <w:sz w:val="28"/>
          <w:szCs w:val="28"/>
        </w:rPr>
        <w:t>.</w:t>
      </w:r>
    </w:p>
    <w:p w14:paraId="638E73F0" w14:textId="77777777" w:rsidR="00B74FA4" w:rsidRDefault="00B74FA4" w:rsidP="00B74FA4">
      <w:pPr>
        <w:spacing w:line="360" w:lineRule="auto"/>
        <w:jc w:val="both"/>
        <w:rPr>
          <w:rFonts w:ascii="Bookman Old Style" w:hAnsi="Bookman Old Style"/>
          <w:sz w:val="28"/>
          <w:szCs w:val="28"/>
        </w:rPr>
      </w:pPr>
    </w:p>
    <w:p w14:paraId="6B029F71" w14:textId="77777777" w:rsidR="00B74FA4" w:rsidRDefault="00B74FA4" w:rsidP="00B74FA4">
      <w:pPr>
        <w:spacing w:line="360" w:lineRule="auto"/>
        <w:jc w:val="center"/>
        <w:rPr>
          <w:rFonts w:ascii="Bookman Old Style" w:hAnsi="Bookman Old Style"/>
          <w:b/>
          <w:sz w:val="28"/>
          <w:szCs w:val="28"/>
        </w:rPr>
      </w:pPr>
      <w:r>
        <w:rPr>
          <w:rFonts w:ascii="Bookman Old Style" w:hAnsi="Bookman Old Style"/>
          <w:b/>
          <w:sz w:val="28"/>
          <w:szCs w:val="28"/>
        </w:rPr>
        <w:t>CARGO PRIMERO</w:t>
      </w:r>
    </w:p>
    <w:p w14:paraId="5EABA969" w14:textId="77777777" w:rsidR="00B74FA4" w:rsidRDefault="00B74FA4" w:rsidP="00B74FA4">
      <w:pPr>
        <w:spacing w:line="360" w:lineRule="auto"/>
        <w:jc w:val="center"/>
        <w:rPr>
          <w:rFonts w:ascii="Bookman Old Style" w:hAnsi="Bookman Old Style"/>
          <w:b/>
          <w:sz w:val="28"/>
          <w:szCs w:val="28"/>
        </w:rPr>
      </w:pPr>
    </w:p>
    <w:p w14:paraId="7A8F089E" w14:textId="77777777" w:rsidR="00B74FA4" w:rsidRPr="00D10A32" w:rsidRDefault="00B74FA4" w:rsidP="00F16B08">
      <w:pPr>
        <w:spacing w:line="360" w:lineRule="auto"/>
        <w:ind w:firstLine="709"/>
        <w:jc w:val="both"/>
        <w:rPr>
          <w:rFonts w:ascii="Bookman Old Style" w:hAnsi="Bookman Old Style"/>
          <w:sz w:val="28"/>
          <w:szCs w:val="28"/>
        </w:rPr>
      </w:pPr>
      <w:r>
        <w:rPr>
          <w:rFonts w:ascii="Bookman Old Style" w:hAnsi="Bookman Old Style"/>
          <w:sz w:val="28"/>
          <w:szCs w:val="28"/>
        </w:rPr>
        <w:t>Se acusa a la sentencia de violar directamente</w:t>
      </w:r>
      <w:r w:rsidR="00F16B08">
        <w:rPr>
          <w:rFonts w:ascii="Bookman Old Style" w:hAnsi="Bookman Old Style"/>
          <w:sz w:val="28"/>
          <w:szCs w:val="28"/>
        </w:rPr>
        <w:t xml:space="preserve"> el artículo 1155 del Código Civil por indebida</w:t>
      </w:r>
      <w:r w:rsidR="004B0B68">
        <w:rPr>
          <w:rFonts w:ascii="Bookman Old Style" w:hAnsi="Bookman Old Style"/>
          <w:sz w:val="28"/>
          <w:szCs w:val="28"/>
        </w:rPr>
        <w:t xml:space="preserve"> aplicación</w:t>
      </w:r>
      <w:r w:rsidR="00E754EF">
        <w:rPr>
          <w:rFonts w:ascii="Bookman Old Style" w:hAnsi="Bookman Old Style"/>
          <w:sz w:val="28"/>
          <w:szCs w:val="28"/>
        </w:rPr>
        <w:t>.</w:t>
      </w:r>
      <w:r w:rsidR="00F16B08">
        <w:rPr>
          <w:rFonts w:ascii="Bookman Old Style" w:hAnsi="Bookman Old Style"/>
          <w:sz w:val="28"/>
          <w:szCs w:val="28"/>
        </w:rPr>
        <w:t xml:space="preserve"> </w:t>
      </w:r>
      <w:r w:rsidR="00E754EF">
        <w:rPr>
          <w:rFonts w:ascii="Bookman Old Style" w:hAnsi="Bookman Old Style"/>
          <w:sz w:val="28"/>
          <w:szCs w:val="28"/>
        </w:rPr>
        <w:t>Y</w:t>
      </w:r>
      <w:r w:rsidR="00C30490">
        <w:rPr>
          <w:rFonts w:ascii="Bookman Old Style" w:hAnsi="Bookman Old Style"/>
          <w:sz w:val="28"/>
          <w:szCs w:val="28"/>
        </w:rPr>
        <w:t xml:space="preserve"> de falta de aplicación de los artículos 1775 (modificado por el artículo 61 del Decreto 2820 de 1974); 1040 y 1045 (modificados por los artículos 2 y 4 de la Ley 29 de 1982); numeral 3 del artículo 1226, 1244 y 1245, </w:t>
      </w:r>
      <w:r w:rsidR="00F91B02">
        <w:rPr>
          <w:rFonts w:ascii="Bookman Old Style" w:hAnsi="Bookman Old Style"/>
          <w:sz w:val="28"/>
          <w:szCs w:val="28"/>
        </w:rPr>
        <w:t>ibídem</w:t>
      </w:r>
      <w:r w:rsidR="00994026">
        <w:rPr>
          <w:rFonts w:ascii="Bookman Old Style" w:hAnsi="Bookman Old Style"/>
          <w:sz w:val="28"/>
          <w:szCs w:val="28"/>
        </w:rPr>
        <w:t>,</w:t>
      </w:r>
      <w:r w:rsidR="00C30490">
        <w:rPr>
          <w:rFonts w:ascii="Bookman Old Style" w:hAnsi="Bookman Old Style"/>
          <w:sz w:val="28"/>
          <w:szCs w:val="28"/>
        </w:rPr>
        <w:t xml:space="preserve"> </w:t>
      </w:r>
      <w:r w:rsidR="00F16B08">
        <w:rPr>
          <w:rFonts w:ascii="Bookman Old Style" w:hAnsi="Bookman Old Style"/>
          <w:sz w:val="28"/>
          <w:szCs w:val="28"/>
        </w:rPr>
        <w:t>en cuanto que</w:t>
      </w:r>
      <w:r w:rsidR="004B0B68">
        <w:rPr>
          <w:rFonts w:ascii="Bookman Old Style" w:hAnsi="Bookman Old Style"/>
          <w:sz w:val="28"/>
          <w:szCs w:val="28"/>
        </w:rPr>
        <w:t>:</w:t>
      </w:r>
    </w:p>
    <w:p w14:paraId="5C4A8FAE" w14:textId="77777777" w:rsidR="00B74FA4" w:rsidRPr="00192E8B" w:rsidRDefault="00B74FA4" w:rsidP="00B74FA4">
      <w:pPr>
        <w:spacing w:line="360" w:lineRule="auto"/>
        <w:ind w:left="709"/>
        <w:jc w:val="both"/>
        <w:rPr>
          <w:rFonts w:ascii="Bookman Old Style" w:hAnsi="Bookman Old Style"/>
          <w:sz w:val="28"/>
          <w:szCs w:val="28"/>
        </w:rPr>
      </w:pPr>
    </w:p>
    <w:p w14:paraId="3376F0D6" w14:textId="77777777" w:rsidR="00B74FA4" w:rsidRDefault="00B74FA4" w:rsidP="00B74FA4">
      <w:pPr>
        <w:spacing w:line="360" w:lineRule="auto"/>
        <w:ind w:firstLine="709"/>
        <w:jc w:val="both"/>
        <w:rPr>
          <w:rFonts w:ascii="Bookman Old Style" w:hAnsi="Bookman Old Style"/>
          <w:sz w:val="28"/>
          <w:szCs w:val="28"/>
        </w:rPr>
      </w:pPr>
      <w:r>
        <w:rPr>
          <w:rFonts w:ascii="Bookman Old Style" w:hAnsi="Bookman Old Style"/>
          <w:sz w:val="28"/>
          <w:szCs w:val="28"/>
        </w:rPr>
        <w:t>(</w:t>
      </w:r>
      <w:r w:rsidR="00F16B08">
        <w:rPr>
          <w:rFonts w:ascii="Bookman Old Style" w:hAnsi="Bookman Old Style"/>
          <w:sz w:val="28"/>
          <w:szCs w:val="28"/>
        </w:rPr>
        <w:t>a</w:t>
      </w:r>
      <w:r>
        <w:rPr>
          <w:rFonts w:ascii="Bookman Old Style" w:hAnsi="Bookman Old Style"/>
          <w:sz w:val="28"/>
          <w:szCs w:val="28"/>
        </w:rPr>
        <w:t xml:space="preserve">) </w:t>
      </w:r>
      <w:r w:rsidR="004B0B68">
        <w:rPr>
          <w:rFonts w:ascii="Bookman Old Style" w:hAnsi="Bookman Old Style"/>
          <w:sz w:val="28"/>
          <w:szCs w:val="28"/>
        </w:rPr>
        <w:t>Con la renuncia a los gananciales del padre (fallecido) del demandante, se le restringió al actor en su condición de heredero a tener acceso a la masa herencial de los bienes de su progenitor a través del trámite sucesoral.</w:t>
      </w:r>
    </w:p>
    <w:p w14:paraId="7502076C" w14:textId="77777777" w:rsidR="00B74FA4" w:rsidRDefault="00B74FA4" w:rsidP="00B74FA4">
      <w:pPr>
        <w:spacing w:line="360" w:lineRule="auto"/>
        <w:jc w:val="both"/>
        <w:rPr>
          <w:rFonts w:ascii="Bookman Old Style" w:hAnsi="Bookman Old Style"/>
          <w:sz w:val="28"/>
          <w:szCs w:val="28"/>
        </w:rPr>
      </w:pPr>
    </w:p>
    <w:p w14:paraId="69E3B796" w14:textId="77777777" w:rsidR="00036DB7" w:rsidRDefault="00B74FA4" w:rsidP="00E754EF">
      <w:pPr>
        <w:spacing w:line="360" w:lineRule="auto"/>
        <w:ind w:firstLine="709"/>
        <w:jc w:val="both"/>
        <w:rPr>
          <w:rFonts w:ascii="Bookman Old Style" w:hAnsi="Bookman Old Style"/>
          <w:sz w:val="28"/>
          <w:szCs w:val="28"/>
        </w:rPr>
      </w:pPr>
      <w:r>
        <w:rPr>
          <w:rFonts w:ascii="Bookman Old Style" w:hAnsi="Bookman Old Style"/>
          <w:sz w:val="28"/>
          <w:szCs w:val="28"/>
        </w:rPr>
        <w:t>(</w:t>
      </w:r>
      <w:r w:rsidR="004B0B68">
        <w:rPr>
          <w:rFonts w:ascii="Bookman Old Style" w:hAnsi="Bookman Old Style"/>
          <w:sz w:val="28"/>
          <w:szCs w:val="28"/>
        </w:rPr>
        <w:t>b</w:t>
      </w:r>
      <w:r>
        <w:rPr>
          <w:rFonts w:ascii="Bookman Old Style" w:hAnsi="Bookman Old Style"/>
          <w:sz w:val="28"/>
          <w:szCs w:val="28"/>
        </w:rPr>
        <w:t xml:space="preserve">) </w:t>
      </w:r>
      <w:r w:rsidR="00E66AC8">
        <w:rPr>
          <w:rFonts w:ascii="Bookman Old Style" w:hAnsi="Bookman Old Style"/>
          <w:sz w:val="28"/>
          <w:szCs w:val="28"/>
        </w:rPr>
        <w:t>A</w:t>
      </w:r>
      <w:r w:rsidR="00E854F1">
        <w:rPr>
          <w:rFonts w:ascii="Bookman Old Style" w:hAnsi="Bookman Old Style"/>
          <w:sz w:val="28"/>
          <w:szCs w:val="28"/>
        </w:rPr>
        <w:t xml:space="preserve">l demandante debe considerársele como </w:t>
      </w:r>
      <w:r w:rsidR="00D372AF">
        <w:rPr>
          <w:rFonts w:ascii="Bookman Old Style" w:hAnsi="Bookman Old Style"/>
          <w:sz w:val="28"/>
          <w:szCs w:val="28"/>
        </w:rPr>
        <w:t>tercero</w:t>
      </w:r>
      <w:r w:rsidR="00E754EF">
        <w:rPr>
          <w:rFonts w:ascii="Bookman Old Style" w:hAnsi="Bookman Old Style"/>
          <w:sz w:val="28"/>
          <w:szCs w:val="28"/>
        </w:rPr>
        <w:t>.</w:t>
      </w:r>
      <w:r w:rsidR="00C77942">
        <w:rPr>
          <w:rFonts w:ascii="Bookman Old Style" w:hAnsi="Bookman Old Style"/>
          <w:sz w:val="28"/>
          <w:szCs w:val="28"/>
        </w:rPr>
        <w:t xml:space="preserve">  </w:t>
      </w:r>
      <w:r w:rsidR="00E754EF">
        <w:rPr>
          <w:rFonts w:ascii="Bookman Old Style" w:hAnsi="Bookman Old Style"/>
          <w:sz w:val="28"/>
          <w:szCs w:val="28"/>
        </w:rPr>
        <w:t>P</w:t>
      </w:r>
      <w:r w:rsidR="00C77942">
        <w:rPr>
          <w:rFonts w:ascii="Bookman Old Style" w:hAnsi="Bookman Old Style"/>
          <w:sz w:val="28"/>
          <w:szCs w:val="28"/>
        </w:rPr>
        <w:t xml:space="preserve">ara ello se aferra en lo que sobre el particular se expuso en la sentencia de esta Corporación </w:t>
      </w:r>
      <w:r w:rsidR="00E754EF">
        <w:rPr>
          <w:rFonts w:ascii="Bookman Old Style" w:hAnsi="Bookman Old Style"/>
          <w:sz w:val="28"/>
          <w:szCs w:val="28"/>
        </w:rPr>
        <w:t xml:space="preserve">del </w:t>
      </w:r>
      <w:r w:rsidR="00C77942">
        <w:rPr>
          <w:rFonts w:ascii="Bookman Old Style" w:hAnsi="Bookman Old Style"/>
          <w:sz w:val="28"/>
          <w:szCs w:val="28"/>
        </w:rPr>
        <w:t>30 de enero de 2006.</w:t>
      </w:r>
    </w:p>
    <w:p w14:paraId="6006F159" w14:textId="77777777" w:rsidR="00E754EF" w:rsidRDefault="00E754EF" w:rsidP="00E754EF">
      <w:pPr>
        <w:spacing w:line="360" w:lineRule="auto"/>
        <w:ind w:firstLine="709"/>
        <w:jc w:val="both"/>
        <w:rPr>
          <w:rFonts w:ascii="Bookman Old Style" w:hAnsi="Bookman Old Style"/>
          <w:sz w:val="28"/>
          <w:szCs w:val="28"/>
        </w:rPr>
      </w:pPr>
    </w:p>
    <w:p w14:paraId="0565C6D7" w14:textId="77777777" w:rsidR="00B74FA4" w:rsidRPr="00D372AF" w:rsidRDefault="00036DB7" w:rsidP="00B74FA4">
      <w:pPr>
        <w:spacing w:line="360" w:lineRule="auto"/>
        <w:ind w:firstLine="709"/>
        <w:jc w:val="both"/>
        <w:rPr>
          <w:rFonts w:ascii="Bookman Old Style" w:hAnsi="Bookman Old Style"/>
          <w:sz w:val="28"/>
          <w:szCs w:val="28"/>
        </w:rPr>
      </w:pPr>
      <w:r w:rsidRPr="00036DB7">
        <w:rPr>
          <w:rFonts w:ascii="Bookman Old Style" w:hAnsi="Bookman Old Style"/>
          <w:sz w:val="28"/>
          <w:szCs w:val="28"/>
        </w:rPr>
        <w:t xml:space="preserve"> </w:t>
      </w:r>
      <w:r w:rsidR="00D372AF">
        <w:rPr>
          <w:rFonts w:ascii="Bookman Old Style" w:hAnsi="Bookman Old Style"/>
          <w:sz w:val="28"/>
          <w:szCs w:val="28"/>
        </w:rPr>
        <w:t xml:space="preserve"> </w:t>
      </w:r>
      <w:r w:rsidR="00AD2D70">
        <w:rPr>
          <w:rFonts w:ascii="Bookman Old Style" w:hAnsi="Bookman Old Style"/>
          <w:sz w:val="28"/>
          <w:szCs w:val="28"/>
        </w:rPr>
        <w:t>(</w:t>
      </w:r>
      <w:r w:rsidR="00E754EF">
        <w:rPr>
          <w:rFonts w:ascii="Bookman Old Style" w:hAnsi="Bookman Old Style"/>
          <w:sz w:val="28"/>
          <w:szCs w:val="28"/>
        </w:rPr>
        <w:t>c</w:t>
      </w:r>
      <w:r w:rsidR="00AD2D70">
        <w:rPr>
          <w:rFonts w:ascii="Bookman Old Style" w:hAnsi="Bookman Old Style"/>
          <w:sz w:val="28"/>
          <w:szCs w:val="28"/>
        </w:rPr>
        <w:t>) El causante Álvaro Gómez Prada, por más que hubiese querido renunciar o disponer de sus gananciales</w:t>
      </w:r>
      <w:r w:rsidR="00C77942">
        <w:rPr>
          <w:rFonts w:ascii="Bookman Old Style" w:hAnsi="Bookman Old Style"/>
          <w:sz w:val="28"/>
          <w:szCs w:val="28"/>
        </w:rPr>
        <w:t xml:space="preserve">, </w:t>
      </w:r>
      <w:r w:rsidR="00C77942">
        <w:rPr>
          <w:rFonts w:ascii="Bookman Old Style" w:hAnsi="Bookman Old Style"/>
          <w:sz w:val="28"/>
          <w:szCs w:val="28"/>
        </w:rPr>
        <w:lastRenderedPageBreak/>
        <w:t>debió respetar la</w:t>
      </w:r>
      <w:r w:rsidR="00F41323">
        <w:rPr>
          <w:rFonts w:ascii="Bookman Old Style" w:hAnsi="Bookman Old Style"/>
          <w:sz w:val="28"/>
          <w:szCs w:val="28"/>
        </w:rPr>
        <w:t xml:space="preserve"> asignación forzosa, la</w:t>
      </w:r>
      <w:r w:rsidR="00C77942">
        <w:rPr>
          <w:rFonts w:ascii="Bookman Old Style" w:hAnsi="Bookman Old Style"/>
          <w:sz w:val="28"/>
          <w:szCs w:val="28"/>
        </w:rPr>
        <w:t xml:space="preserve"> legítima rigurosa del convocante</w:t>
      </w:r>
      <w:r w:rsidR="00F41323">
        <w:rPr>
          <w:rFonts w:ascii="Bookman Old Style" w:hAnsi="Bookman Old Style"/>
          <w:sz w:val="28"/>
          <w:szCs w:val="28"/>
        </w:rPr>
        <w:t xml:space="preserve"> y la cuarta de mejoras.</w:t>
      </w:r>
      <w:r w:rsidR="003D0775">
        <w:rPr>
          <w:rFonts w:ascii="Bookman Old Style" w:hAnsi="Bookman Old Style"/>
          <w:sz w:val="28"/>
          <w:szCs w:val="28"/>
        </w:rPr>
        <w:t xml:space="preserve"> </w:t>
      </w:r>
    </w:p>
    <w:p w14:paraId="2C89E1FA" w14:textId="77777777" w:rsidR="00B74FA4" w:rsidRDefault="00B74FA4" w:rsidP="00B74FA4">
      <w:pPr>
        <w:spacing w:line="360" w:lineRule="auto"/>
        <w:jc w:val="both"/>
        <w:rPr>
          <w:rFonts w:ascii="Bookman Old Style" w:hAnsi="Bookman Old Style"/>
          <w:sz w:val="28"/>
          <w:szCs w:val="28"/>
        </w:rPr>
      </w:pPr>
    </w:p>
    <w:p w14:paraId="40AEEC51" w14:textId="77777777" w:rsidR="0085151F" w:rsidRDefault="004B07AF" w:rsidP="00D31F30">
      <w:pPr>
        <w:spacing w:line="360" w:lineRule="auto"/>
        <w:ind w:firstLine="709"/>
        <w:jc w:val="both"/>
        <w:rPr>
          <w:rFonts w:ascii="Bookman Old Style" w:hAnsi="Bookman Old Style"/>
          <w:sz w:val="28"/>
          <w:szCs w:val="28"/>
        </w:rPr>
      </w:pPr>
      <w:r>
        <w:rPr>
          <w:rFonts w:ascii="Bookman Old Style" w:hAnsi="Bookman Old Style"/>
          <w:sz w:val="28"/>
          <w:szCs w:val="28"/>
        </w:rPr>
        <w:t>(</w:t>
      </w:r>
      <w:r w:rsidR="00E754EF">
        <w:rPr>
          <w:rFonts w:ascii="Bookman Old Style" w:hAnsi="Bookman Old Style"/>
          <w:sz w:val="28"/>
          <w:szCs w:val="28"/>
        </w:rPr>
        <w:t>d</w:t>
      </w:r>
      <w:r>
        <w:rPr>
          <w:rFonts w:ascii="Bookman Old Style" w:hAnsi="Bookman Old Style"/>
          <w:sz w:val="28"/>
          <w:szCs w:val="28"/>
        </w:rPr>
        <w:t xml:space="preserve">) </w:t>
      </w:r>
      <w:r w:rsidR="00E45542">
        <w:rPr>
          <w:rFonts w:ascii="Bookman Old Style" w:hAnsi="Bookman Old Style"/>
          <w:sz w:val="28"/>
          <w:szCs w:val="28"/>
        </w:rPr>
        <w:t>Se dej</w:t>
      </w:r>
      <w:r w:rsidR="00277F5C">
        <w:rPr>
          <w:rFonts w:ascii="Bookman Old Style" w:hAnsi="Bookman Old Style"/>
          <w:sz w:val="28"/>
          <w:szCs w:val="28"/>
        </w:rPr>
        <w:t>aron</w:t>
      </w:r>
      <w:r w:rsidR="00E45542">
        <w:rPr>
          <w:rFonts w:ascii="Bookman Old Style" w:hAnsi="Bookman Old Style"/>
          <w:sz w:val="28"/>
          <w:szCs w:val="28"/>
        </w:rPr>
        <w:t xml:space="preserve"> de aplicar l</w:t>
      </w:r>
      <w:r w:rsidR="005A23AC">
        <w:rPr>
          <w:rFonts w:ascii="Bookman Old Style" w:hAnsi="Bookman Old Style"/>
          <w:sz w:val="28"/>
          <w:szCs w:val="28"/>
        </w:rPr>
        <w:t>os</w:t>
      </w:r>
      <w:r w:rsidR="00E45542">
        <w:rPr>
          <w:rFonts w:ascii="Bookman Old Style" w:hAnsi="Bookman Old Style"/>
          <w:sz w:val="28"/>
          <w:szCs w:val="28"/>
        </w:rPr>
        <w:t xml:space="preserve"> artículo</w:t>
      </w:r>
      <w:r w:rsidR="005A23AC">
        <w:rPr>
          <w:rFonts w:ascii="Bookman Old Style" w:hAnsi="Bookman Old Style"/>
          <w:sz w:val="28"/>
          <w:szCs w:val="28"/>
        </w:rPr>
        <w:t>s</w:t>
      </w:r>
      <w:r w:rsidR="00E45542">
        <w:rPr>
          <w:rFonts w:ascii="Bookman Old Style" w:hAnsi="Bookman Old Style"/>
          <w:sz w:val="28"/>
          <w:szCs w:val="28"/>
        </w:rPr>
        <w:t xml:space="preserve"> 1775</w:t>
      </w:r>
      <w:r w:rsidR="0085151F">
        <w:rPr>
          <w:rFonts w:ascii="Bookman Old Style" w:hAnsi="Bookman Old Style"/>
          <w:sz w:val="28"/>
          <w:szCs w:val="28"/>
        </w:rPr>
        <w:t>, 1244 y 1245 del Código Civil</w:t>
      </w:r>
      <w:r w:rsidR="005D0047">
        <w:rPr>
          <w:rFonts w:ascii="Bookman Old Style" w:hAnsi="Bookman Old Style"/>
          <w:sz w:val="28"/>
          <w:szCs w:val="28"/>
        </w:rPr>
        <w:t>.</w:t>
      </w:r>
      <w:r w:rsidR="00425E9C">
        <w:rPr>
          <w:rFonts w:ascii="Bookman Old Style" w:hAnsi="Bookman Old Style"/>
          <w:sz w:val="28"/>
          <w:szCs w:val="28"/>
        </w:rPr>
        <w:t xml:space="preserve"> Sobre el particular, se ofreció una extensa interpretación de los textos referenciados. </w:t>
      </w:r>
    </w:p>
    <w:p w14:paraId="11ACB79F" w14:textId="77777777" w:rsidR="00E45542" w:rsidRDefault="00E45542" w:rsidP="00B74FA4">
      <w:pPr>
        <w:spacing w:line="360" w:lineRule="auto"/>
        <w:jc w:val="center"/>
        <w:rPr>
          <w:rFonts w:ascii="Bookman Old Style" w:hAnsi="Bookman Old Style"/>
          <w:b/>
          <w:sz w:val="28"/>
          <w:szCs w:val="28"/>
        </w:rPr>
      </w:pPr>
    </w:p>
    <w:p w14:paraId="2A0CFA39" w14:textId="77777777" w:rsidR="00B74FA4" w:rsidRDefault="00B74FA4" w:rsidP="00B74FA4">
      <w:pPr>
        <w:spacing w:line="360" w:lineRule="auto"/>
        <w:jc w:val="center"/>
        <w:rPr>
          <w:rFonts w:ascii="Bookman Old Style" w:hAnsi="Bookman Old Style"/>
          <w:b/>
          <w:sz w:val="28"/>
          <w:szCs w:val="28"/>
        </w:rPr>
      </w:pPr>
      <w:r>
        <w:rPr>
          <w:rFonts w:ascii="Bookman Old Style" w:hAnsi="Bookman Old Style"/>
          <w:b/>
          <w:sz w:val="28"/>
          <w:szCs w:val="28"/>
        </w:rPr>
        <w:t>SEGUNDO CARGO</w:t>
      </w:r>
    </w:p>
    <w:p w14:paraId="4EE81DAB" w14:textId="77777777" w:rsidR="00B74FA4" w:rsidRDefault="00B74FA4" w:rsidP="00B74FA4">
      <w:pPr>
        <w:spacing w:line="360" w:lineRule="auto"/>
        <w:jc w:val="center"/>
        <w:rPr>
          <w:rFonts w:ascii="Bookman Old Style" w:hAnsi="Bookman Old Style"/>
          <w:b/>
          <w:sz w:val="28"/>
          <w:szCs w:val="28"/>
        </w:rPr>
      </w:pPr>
    </w:p>
    <w:p w14:paraId="39C71578" w14:textId="77777777" w:rsidR="00B74FA4" w:rsidRDefault="00B74FA4" w:rsidP="00B74FA4">
      <w:pPr>
        <w:spacing w:line="360" w:lineRule="auto"/>
        <w:ind w:firstLine="709"/>
        <w:jc w:val="both"/>
        <w:rPr>
          <w:rFonts w:ascii="Bookman Old Style" w:hAnsi="Bookman Old Style"/>
          <w:sz w:val="28"/>
          <w:szCs w:val="28"/>
        </w:rPr>
      </w:pPr>
      <w:r>
        <w:rPr>
          <w:rFonts w:ascii="Bookman Old Style" w:hAnsi="Bookman Old Style"/>
          <w:sz w:val="28"/>
          <w:szCs w:val="28"/>
        </w:rPr>
        <w:t>D</w:t>
      </w:r>
      <w:r w:rsidRPr="00391BAB">
        <w:rPr>
          <w:rFonts w:ascii="Bookman Old Style" w:hAnsi="Bookman Old Style"/>
          <w:sz w:val="28"/>
          <w:szCs w:val="28"/>
        </w:rPr>
        <w:t xml:space="preserve">enuncia </w:t>
      </w:r>
      <w:r>
        <w:rPr>
          <w:rFonts w:ascii="Bookman Old Style" w:hAnsi="Bookman Old Style"/>
          <w:sz w:val="28"/>
          <w:szCs w:val="28"/>
        </w:rPr>
        <w:t>que la sentencia violó directamente</w:t>
      </w:r>
      <w:r w:rsidR="00712A98">
        <w:rPr>
          <w:rFonts w:ascii="Bookman Old Style" w:hAnsi="Bookman Old Style"/>
          <w:sz w:val="28"/>
          <w:szCs w:val="28"/>
        </w:rPr>
        <w:t xml:space="preserve"> el artículo 1775 </w:t>
      </w:r>
      <w:r w:rsidR="00324979">
        <w:rPr>
          <w:rFonts w:ascii="Bookman Old Style" w:hAnsi="Bookman Old Style"/>
          <w:sz w:val="28"/>
          <w:szCs w:val="28"/>
        </w:rPr>
        <w:t>del Código Civil</w:t>
      </w:r>
      <w:r w:rsidR="00712A98">
        <w:rPr>
          <w:rFonts w:ascii="Bookman Old Style" w:hAnsi="Bookman Old Style"/>
          <w:sz w:val="28"/>
          <w:szCs w:val="28"/>
        </w:rPr>
        <w:t>, por interpretación errónea</w:t>
      </w:r>
      <w:r w:rsidR="00425E9C">
        <w:rPr>
          <w:rFonts w:ascii="Bookman Old Style" w:hAnsi="Bookman Old Style"/>
          <w:sz w:val="28"/>
          <w:szCs w:val="28"/>
        </w:rPr>
        <w:t>.</w:t>
      </w:r>
      <w:r w:rsidR="00712A98">
        <w:rPr>
          <w:rFonts w:ascii="Bookman Old Style" w:hAnsi="Bookman Old Style"/>
          <w:sz w:val="28"/>
          <w:szCs w:val="28"/>
        </w:rPr>
        <w:t xml:space="preserve"> </w:t>
      </w:r>
      <w:r w:rsidR="00425E9C">
        <w:rPr>
          <w:rFonts w:ascii="Bookman Old Style" w:hAnsi="Bookman Old Style"/>
          <w:sz w:val="28"/>
          <w:szCs w:val="28"/>
        </w:rPr>
        <w:t>P</w:t>
      </w:r>
      <w:r w:rsidR="00712A98">
        <w:rPr>
          <w:rFonts w:ascii="Bookman Old Style" w:hAnsi="Bookman Old Style"/>
          <w:sz w:val="28"/>
          <w:szCs w:val="28"/>
        </w:rPr>
        <w:t>ara lo cual</w:t>
      </w:r>
      <w:r w:rsidR="00425E9C">
        <w:rPr>
          <w:rFonts w:ascii="Bookman Old Style" w:hAnsi="Bookman Old Style"/>
          <w:sz w:val="28"/>
          <w:szCs w:val="28"/>
        </w:rPr>
        <w:t>,</w:t>
      </w:r>
      <w:r w:rsidR="00324979">
        <w:rPr>
          <w:rFonts w:ascii="Bookman Old Style" w:hAnsi="Bookman Old Style"/>
          <w:sz w:val="28"/>
          <w:szCs w:val="28"/>
        </w:rPr>
        <w:t xml:space="preserve"> reproduce la argumentación que con relación a este mismo dispositivo legal esbozó en el cargo primero, mediante la cual reproch</w:t>
      </w:r>
      <w:r w:rsidR="00712A98">
        <w:rPr>
          <w:rFonts w:ascii="Bookman Old Style" w:hAnsi="Bookman Old Style"/>
          <w:sz w:val="28"/>
          <w:szCs w:val="28"/>
        </w:rPr>
        <w:t>ó</w:t>
      </w:r>
      <w:r w:rsidR="00324979">
        <w:rPr>
          <w:rFonts w:ascii="Bookman Old Style" w:hAnsi="Bookman Old Style"/>
          <w:sz w:val="28"/>
          <w:szCs w:val="28"/>
        </w:rPr>
        <w:t xml:space="preserve"> que el juez colegiado no lo haya considerado</w:t>
      </w:r>
      <w:r w:rsidR="00524C60">
        <w:rPr>
          <w:rFonts w:ascii="Bookman Old Style" w:hAnsi="Bookman Old Style"/>
          <w:sz w:val="28"/>
          <w:szCs w:val="28"/>
        </w:rPr>
        <w:t xml:space="preserve"> </w:t>
      </w:r>
      <w:r w:rsidR="00712A98">
        <w:rPr>
          <w:rFonts w:ascii="Bookman Old Style" w:hAnsi="Bookman Old Style"/>
          <w:sz w:val="28"/>
          <w:szCs w:val="28"/>
        </w:rPr>
        <w:t>tercero frente al acto de renun</w:t>
      </w:r>
      <w:r w:rsidR="00324979">
        <w:rPr>
          <w:rFonts w:ascii="Bookman Old Style" w:hAnsi="Bookman Old Style"/>
          <w:sz w:val="28"/>
          <w:szCs w:val="28"/>
        </w:rPr>
        <w:t>c</w:t>
      </w:r>
      <w:r w:rsidR="00712A98">
        <w:rPr>
          <w:rFonts w:ascii="Bookman Old Style" w:hAnsi="Bookman Old Style"/>
          <w:sz w:val="28"/>
          <w:szCs w:val="28"/>
        </w:rPr>
        <w:t>ia de gananciales</w:t>
      </w:r>
      <w:r w:rsidR="00324979">
        <w:rPr>
          <w:rFonts w:ascii="Bookman Old Style" w:hAnsi="Bookman Old Style"/>
          <w:sz w:val="28"/>
          <w:szCs w:val="28"/>
        </w:rPr>
        <w:t xml:space="preserve"> </w:t>
      </w:r>
      <w:r w:rsidR="00712A98">
        <w:rPr>
          <w:rFonts w:ascii="Bookman Old Style" w:hAnsi="Bookman Old Style"/>
          <w:sz w:val="28"/>
          <w:szCs w:val="28"/>
        </w:rPr>
        <w:t>de su progenitor fallecido</w:t>
      </w:r>
      <w:r w:rsidR="00483D63">
        <w:rPr>
          <w:rFonts w:ascii="Bookman Old Style" w:hAnsi="Bookman Old Style"/>
          <w:sz w:val="28"/>
          <w:szCs w:val="28"/>
        </w:rPr>
        <w:t>.</w:t>
      </w:r>
      <w:r w:rsidR="00712A98">
        <w:rPr>
          <w:rFonts w:ascii="Bookman Old Style" w:hAnsi="Bookman Old Style"/>
          <w:sz w:val="28"/>
          <w:szCs w:val="28"/>
        </w:rPr>
        <w:t xml:space="preserve"> </w:t>
      </w:r>
    </w:p>
    <w:p w14:paraId="258F6919" w14:textId="77777777" w:rsidR="00B74FA4" w:rsidRDefault="00B74FA4" w:rsidP="00B74FA4">
      <w:pPr>
        <w:spacing w:line="360" w:lineRule="auto"/>
        <w:jc w:val="both"/>
        <w:rPr>
          <w:rFonts w:ascii="Bookman Old Style" w:hAnsi="Bookman Old Style"/>
          <w:sz w:val="28"/>
          <w:szCs w:val="28"/>
        </w:rPr>
      </w:pPr>
    </w:p>
    <w:p w14:paraId="09BFA905" w14:textId="77777777" w:rsidR="00B74FA4" w:rsidRPr="003F010A" w:rsidRDefault="00B74FA4" w:rsidP="00B74FA4">
      <w:pPr>
        <w:spacing w:line="360" w:lineRule="auto"/>
        <w:jc w:val="center"/>
        <w:rPr>
          <w:rFonts w:ascii="Bookman Old Style" w:eastAsia="Times New Roman" w:hAnsi="Bookman Old Style" w:cs="Arial"/>
          <w:b/>
          <w:sz w:val="28"/>
          <w:szCs w:val="28"/>
        </w:rPr>
      </w:pPr>
      <w:r w:rsidRPr="003F010A">
        <w:rPr>
          <w:rFonts w:ascii="Bookman Old Style" w:eastAsia="Times New Roman" w:hAnsi="Bookman Old Style" w:cs="Arial"/>
          <w:b/>
          <w:sz w:val="28"/>
          <w:szCs w:val="28"/>
        </w:rPr>
        <w:t>CONSIDERACIONES</w:t>
      </w:r>
    </w:p>
    <w:p w14:paraId="18C3DC7E" w14:textId="77777777" w:rsidR="00B74FA4" w:rsidRPr="003F010A" w:rsidRDefault="00B74FA4" w:rsidP="00B74FA4">
      <w:pPr>
        <w:spacing w:line="360" w:lineRule="auto"/>
        <w:rPr>
          <w:rFonts w:ascii="Bookman Old Style" w:eastAsia="Times New Roman" w:hAnsi="Bookman Old Style" w:cs="Arial"/>
          <w:b/>
          <w:sz w:val="28"/>
          <w:szCs w:val="28"/>
        </w:rPr>
      </w:pPr>
    </w:p>
    <w:p w14:paraId="2CEE7FAD" w14:textId="77777777" w:rsidR="002405DE" w:rsidRDefault="00B74FA4" w:rsidP="00B74FA4">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1. </w:t>
      </w:r>
      <w:r w:rsidR="00E038A6">
        <w:rPr>
          <w:rFonts w:ascii="Bookman Old Style" w:hAnsi="Bookman Old Style" w:cs="Arial"/>
          <w:sz w:val="28"/>
          <w:szCs w:val="28"/>
        </w:rPr>
        <w:t xml:space="preserve">La Sala advierte que el recurso de casación se interpuso en vigencia del Código de Procedimiento Civil, por lo que </w:t>
      </w:r>
      <w:r w:rsidR="00524C60">
        <w:rPr>
          <w:rFonts w:ascii="Bookman Old Style" w:hAnsi="Bookman Old Style" w:cs="Arial"/>
          <w:sz w:val="28"/>
          <w:szCs w:val="28"/>
        </w:rPr>
        <w:t>l</w:t>
      </w:r>
      <w:r w:rsidR="00E038A6">
        <w:rPr>
          <w:rFonts w:ascii="Bookman Old Style" w:hAnsi="Bookman Old Style" w:cs="Arial"/>
          <w:sz w:val="28"/>
          <w:szCs w:val="28"/>
        </w:rPr>
        <w:t xml:space="preserve">a impugnación extraordinaria se </w:t>
      </w:r>
      <w:r w:rsidR="004B0DA2">
        <w:rPr>
          <w:rFonts w:ascii="Bookman Old Style" w:hAnsi="Bookman Old Style" w:cs="Arial"/>
          <w:sz w:val="28"/>
          <w:szCs w:val="28"/>
        </w:rPr>
        <w:t>gobernará</w:t>
      </w:r>
      <w:r w:rsidR="00E038A6">
        <w:rPr>
          <w:rFonts w:ascii="Bookman Old Style" w:hAnsi="Bookman Old Style" w:cs="Arial"/>
          <w:sz w:val="28"/>
          <w:szCs w:val="28"/>
        </w:rPr>
        <w:t xml:space="preserve"> por </w:t>
      </w:r>
      <w:r w:rsidR="004B0DA2">
        <w:rPr>
          <w:rFonts w:ascii="Bookman Old Style" w:hAnsi="Bookman Old Style" w:cs="Arial"/>
          <w:sz w:val="28"/>
          <w:szCs w:val="28"/>
        </w:rPr>
        <w:t>este</w:t>
      </w:r>
      <w:r w:rsidR="00E038A6">
        <w:rPr>
          <w:rFonts w:ascii="Bookman Old Style" w:hAnsi="Bookman Old Style" w:cs="Arial"/>
          <w:sz w:val="28"/>
          <w:szCs w:val="28"/>
        </w:rPr>
        <w:t xml:space="preserve">, </w:t>
      </w:r>
      <w:r w:rsidR="00464D2B">
        <w:rPr>
          <w:rFonts w:ascii="Bookman Old Style" w:hAnsi="Bookman Old Style" w:cs="Arial"/>
          <w:sz w:val="28"/>
          <w:szCs w:val="28"/>
        </w:rPr>
        <w:t xml:space="preserve">debido a que, </w:t>
      </w:r>
      <w:r w:rsidR="00D439EB">
        <w:rPr>
          <w:rFonts w:ascii="Bookman Old Style" w:hAnsi="Bookman Old Style" w:cs="Arial"/>
          <w:sz w:val="28"/>
          <w:szCs w:val="28"/>
        </w:rPr>
        <w:t xml:space="preserve">en aplicación a lo previsto en el numeral 5º del artículo 625 del Código General del Proceso (tránsito de legislación), </w:t>
      </w:r>
      <w:r w:rsidR="00464D2B">
        <w:rPr>
          <w:rFonts w:ascii="Bookman Old Style" w:hAnsi="Bookman Old Style" w:cs="Arial"/>
          <w:sz w:val="28"/>
          <w:szCs w:val="28"/>
        </w:rPr>
        <w:t>«</w:t>
      </w:r>
      <w:r w:rsidR="00464D2B">
        <w:rPr>
          <w:rFonts w:ascii="Bookman Old Style" w:hAnsi="Bookman Old Style" w:cs="Arial"/>
          <w:i/>
          <w:sz w:val="24"/>
          <w:szCs w:val="24"/>
        </w:rPr>
        <w:t>los recursos interpuestos se regirán por las leyes vigentes cuando se interpusieron los recursos».</w:t>
      </w:r>
      <w:r w:rsidR="003439C7">
        <w:rPr>
          <w:rFonts w:ascii="Bookman Old Style" w:hAnsi="Bookman Old Style" w:cs="Arial"/>
          <w:sz w:val="28"/>
          <w:szCs w:val="28"/>
        </w:rPr>
        <w:t xml:space="preserve"> </w:t>
      </w:r>
    </w:p>
    <w:p w14:paraId="54A4E8A3" w14:textId="77777777" w:rsidR="002405DE" w:rsidRDefault="002405DE" w:rsidP="00B74FA4">
      <w:pPr>
        <w:spacing w:line="360" w:lineRule="auto"/>
        <w:ind w:firstLine="708"/>
        <w:jc w:val="both"/>
        <w:rPr>
          <w:rFonts w:ascii="Bookman Old Style" w:hAnsi="Bookman Old Style" w:cs="Arial"/>
          <w:sz w:val="28"/>
          <w:szCs w:val="28"/>
        </w:rPr>
      </w:pPr>
    </w:p>
    <w:p w14:paraId="557D986B" w14:textId="77777777" w:rsidR="00B74FA4" w:rsidRPr="00E5696B" w:rsidRDefault="002405DE" w:rsidP="00B74FA4">
      <w:pPr>
        <w:spacing w:line="360" w:lineRule="auto"/>
        <w:ind w:firstLine="708"/>
        <w:jc w:val="both"/>
        <w:rPr>
          <w:rFonts w:ascii="Bookman Old Style" w:hAnsi="Bookman Old Style"/>
          <w:sz w:val="28"/>
          <w:szCs w:val="28"/>
        </w:rPr>
      </w:pPr>
      <w:r>
        <w:rPr>
          <w:rFonts w:ascii="Bookman Old Style" w:hAnsi="Bookman Old Style" w:cs="Arial"/>
          <w:sz w:val="28"/>
          <w:szCs w:val="28"/>
        </w:rPr>
        <w:t xml:space="preserve">2. </w:t>
      </w:r>
      <w:r w:rsidR="00B74FA4" w:rsidRPr="00E2696D">
        <w:rPr>
          <w:rFonts w:ascii="Bookman Old Style" w:hAnsi="Bookman Old Style" w:cs="Arial"/>
          <w:sz w:val="28"/>
          <w:szCs w:val="28"/>
        </w:rPr>
        <w:t>Por sabido se tiene que con el recurso de casación se juzga la</w:t>
      </w:r>
      <w:r w:rsidR="00B74FA4" w:rsidRPr="00E5696B">
        <w:rPr>
          <w:rFonts w:ascii="Bookman Old Style" w:hAnsi="Bookman Old Style" w:cs="Arial"/>
          <w:sz w:val="28"/>
          <w:szCs w:val="28"/>
        </w:rPr>
        <w:t xml:space="preserve"> legalidad de la sentencia combatida </w:t>
      </w:r>
      <w:r w:rsidR="00B74FA4" w:rsidRPr="00E2696D">
        <w:rPr>
          <w:rFonts w:ascii="Bookman Old Style" w:hAnsi="Bookman Old Style" w:cs="Arial"/>
          <w:sz w:val="28"/>
          <w:szCs w:val="28"/>
        </w:rPr>
        <w:t xml:space="preserve">y no el litigio </w:t>
      </w:r>
      <w:r w:rsidR="00B74FA4" w:rsidRPr="00D439EB">
        <w:rPr>
          <w:rFonts w:ascii="Bookman Old Style" w:hAnsi="Bookman Old Style" w:cs="Arial"/>
          <w:sz w:val="28"/>
          <w:szCs w:val="28"/>
        </w:rPr>
        <w:t>mismo</w:t>
      </w:r>
      <w:r w:rsidR="00A64E2D" w:rsidRPr="00D439EB">
        <w:rPr>
          <w:rFonts w:ascii="Bookman Old Style" w:hAnsi="Bookman Old Style" w:cs="Arial"/>
          <w:sz w:val="28"/>
          <w:szCs w:val="28"/>
        </w:rPr>
        <w:t>.</w:t>
      </w:r>
      <w:r w:rsidR="00B74FA4" w:rsidRPr="00D439EB">
        <w:rPr>
          <w:rFonts w:ascii="Bookman Old Style" w:hAnsi="Bookman Old Style" w:cs="Arial"/>
          <w:sz w:val="28"/>
          <w:szCs w:val="28"/>
        </w:rPr>
        <w:t xml:space="preserve"> </w:t>
      </w:r>
      <w:r w:rsidR="00A64E2D" w:rsidRPr="00D439EB">
        <w:rPr>
          <w:rFonts w:ascii="Bookman Old Style" w:hAnsi="Bookman Old Style" w:cs="Arial"/>
          <w:sz w:val="28"/>
          <w:szCs w:val="28"/>
        </w:rPr>
        <w:t>D</w:t>
      </w:r>
      <w:r w:rsidR="00B74FA4" w:rsidRPr="00D439EB">
        <w:rPr>
          <w:rFonts w:ascii="Bookman Old Style" w:hAnsi="Bookman Old Style" w:cs="Arial"/>
          <w:sz w:val="28"/>
          <w:szCs w:val="28"/>
        </w:rPr>
        <w:t xml:space="preserve">e no ser así, </w:t>
      </w:r>
      <w:r w:rsidR="00455685">
        <w:rPr>
          <w:rFonts w:ascii="Bookman Old Style" w:hAnsi="Bookman Old Style" w:cs="Arial"/>
          <w:sz w:val="28"/>
          <w:szCs w:val="28"/>
        </w:rPr>
        <w:t xml:space="preserve">se </w:t>
      </w:r>
      <w:r w:rsidR="00B74FA4" w:rsidRPr="00D439EB">
        <w:rPr>
          <w:rFonts w:ascii="Bookman Old Style" w:hAnsi="Bookman Old Style" w:cs="Arial"/>
          <w:sz w:val="28"/>
          <w:szCs w:val="28"/>
        </w:rPr>
        <w:t xml:space="preserve">mutaría </w:t>
      </w:r>
      <w:r w:rsidR="00455685">
        <w:rPr>
          <w:rFonts w:ascii="Bookman Old Style" w:hAnsi="Bookman Old Style" w:cs="Arial"/>
          <w:sz w:val="28"/>
          <w:szCs w:val="28"/>
        </w:rPr>
        <w:t>su</w:t>
      </w:r>
      <w:r w:rsidR="00B74FA4" w:rsidRPr="00D439EB">
        <w:rPr>
          <w:rFonts w:ascii="Bookman Old Style" w:hAnsi="Bookman Old Style" w:cs="Arial"/>
          <w:sz w:val="28"/>
          <w:szCs w:val="28"/>
        </w:rPr>
        <w:t xml:space="preserve"> naturaleza.</w:t>
      </w:r>
      <w:r w:rsidR="003C59E0" w:rsidRPr="00D439EB">
        <w:rPr>
          <w:rFonts w:ascii="Bookman Old Style" w:hAnsi="Bookman Old Style" w:cs="Arial"/>
          <w:sz w:val="28"/>
          <w:szCs w:val="28"/>
        </w:rPr>
        <w:t xml:space="preserve"> </w:t>
      </w:r>
      <w:r w:rsidR="00D439EB">
        <w:rPr>
          <w:rFonts w:ascii="Bookman Old Style" w:hAnsi="Bookman Old Style" w:cs="Arial"/>
          <w:sz w:val="28"/>
          <w:szCs w:val="28"/>
        </w:rPr>
        <w:t xml:space="preserve"> </w:t>
      </w:r>
    </w:p>
    <w:p w14:paraId="4E4D2D97" w14:textId="77777777" w:rsidR="00B74FA4" w:rsidRDefault="00B74FA4" w:rsidP="00A64E2D">
      <w:pPr>
        <w:spacing w:line="360" w:lineRule="auto"/>
        <w:jc w:val="both"/>
        <w:rPr>
          <w:rFonts w:ascii="Bookman Old Style" w:hAnsi="Bookman Old Style" w:cs="Arial"/>
          <w:sz w:val="28"/>
          <w:szCs w:val="28"/>
        </w:rPr>
      </w:pPr>
    </w:p>
    <w:p w14:paraId="01DAE934" w14:textId="77777777" w:rsidR="0064704F" w:rsidRDefault="00C01529" w:rsidP="00B74FA4">
      <w:pPr>
        <w:spacing w:line="360" w:lineRule="auto"/>
        <w:ind w:firstLine="709"/>
        <w:jc w:val="both"/>
        <w:rPr>
          <w:rFonts w:ascii="Bookman Old Style" w:hAnsi="Bookman Old Style" w:cs="Arial"/>
          <w:sz w:val="28"/>
          <w:szCs w:val="28"/>
        </w:rPr>
      </w:pPr>
      <w:r>
        <w:rPr>
          <w:rFonts w:ascii="Bookman Old Style" w:hAnsi="Bookman Old Style" w:cs="Arial"/>
          <w:sz w:val="28"/>
          <w:szCs w:val="28"/>
        </w:rPr>
        <w:t>3</w:t>
      </w:r>
      <w:r w:rsidR="00B74FA4">
        <w:rPr>
          <w:rFonts w:ascii="Bookman Old Style" w:hAnsi="Bookman Old Style" w:cs="Arial"/>
          <w:sz w:val="28"/>
          <w:szCs w:val="28"/>
        </w:rPr>
        <w:t xml:space="preserve">. Habrá de perfilarse la acusación por la vía directa cuando la discrepancia por la que se duele la censura reside exclusivamente en un plano de estricta juridicidad, desligado, por consiguiente, de cualquier equivocación en el ámbito probatorio. </w:t>
      </w:r>
    </w:p>
    <w:p w14:paraId="46312038" w14:textId="77777777" w:rsidR="0064704F" w:rsidRDefault="0064704F" w:rsidP="00B74FA4">
      <w:pPr>
        <w:spacing w:line="360" w:lineRule="auto"/>
        <w:ind w:firstLine="709"/>
        <w:jc w:val="both"/>
        <w:rPr>
          <w:rFonts w:ascii="Bookman Old Style" w:hAnsi="Bookman Old Style" w:cs="Arial"/>
          <w:sz w:val="28"/>
          <w:szCs w:val="28"/>
        </w:rPr>
      </w:pPr>
    </w:p>
    <w:p w14:paraId="65ADE441" w14:textId="77777777" w:rsidR="00B74FA4" w:rsidRDefault="00B74FA4" w:rsidP="00B74FA4">
      <w:pPr>
        <w:spacing w:line="360" w:lineRule="auto"/>
        <w:ind w:firstLine="709"/>
        <w:jc w:val="both"/>
        <w:rPr>
          <w:rFonts w:ascii="Bookman Old Style" w:hAnsi="Bookman Old Style" w:cs="Arial"/>
          <w:sz w:val="28"/>
          <w:szCs w:val="28"/>
        </w:rPr>
      </w:pPr>
      <w:r>
        <w:rPr>
          <w:rFonts w:ascii="Bookman Old Style" w:hAnsi="Bookman Old Style" w:cs="Arial"/>
          <w:sz w:val="28"/>
          <w:szCs w:val="28"/>
        </w:rPr>
        <w:t xml:space="preserve">Es decir, no hay lugar a queja alguna sobre los aspectos fácticos del proceso en cuanto se parte de la base </w:t>
      </w:r>
      <w:r w:rsidR="003517B9">
        <w:rPr>
          <w:rFonts w:ascii="Bookman Old Style" w:hAnsi="Bookman Old Style" w:cs="Arial"/>
          <w:sz w:val="28"/>
          <w:szCs w:val="28"/>
        </w:rPr>
        <w:t xml:space="preserve">de </w:t>
      </w:r>
      <w:r>
        <w:rPr>
          <w:rFonts w:ascii="Bookman Old Style" w:hAnsi="Bookman Old Style" w:cs="Arial"/>
          <w:sz w:val="28"/>
          <w:szCs w:val="28"/>
        </w:rPr>
        <w:t>que el recurrente está de</w:t>
      </w:r>
      <w:r w:rsidR="00D961C2">
        <w:rPr>
          <w:rFonts w:ascii="Bookman Old Style" w:hAnsi="Bookman Old Style" w:cs="Arial"/>
          <w:sz w:val="28"/>
          <w:szCs w:val="28"/>
        </w:rPr>
        <w:t xml:space="preserve"> </w:t>
      </w:r>
      <w:r>
        <w:rPr>
          <w:rFonts w:ascii="Bookman Old Style" w:hAnsi="Bookman Old Style" w:cs="Arial"/>
          <w:sz w:val="28"/>
          <w:szCs w:val="28"/>
        </w:rPr>
        <w:t>acuerdo con lo que al respect</w:t>
      </w:r>
      <w:r w:rsidR="00C04790">
        <w:rPr>
          <w:rFonts w:ascii="Bookman Old Style" w:hAnsi="Bookman Old Style" w:cs="Arial"/>
          <w:sz w:val="28"/>
          <w:szCs w:val="28"/>
        </w:rPr>
        <w:t>o</w:t>
      </w:r>
      <w:r>
        <w:rPr>
          <w:rFonts w:ascii="Bookman Old Style" w:hAnsi="Bookman Old Style" w:cs="Arial"/>
          <w:sz w:val="28"/>
          <w:szCs w:val="28"/>
        </w:rPr>
        <w:t xml:space="preserve"> consideró el Tribunal</w:t>
      </w:r>
      <w:r w:rsidR="006647BB">
        <w:rPr>
          <w:rFonts w:ascii="Bookman Old Style" w:hAnsi="Bookman Old Style" w:cs="Arial"/>
          <w:sz w:val="28"/>
          <w:szCs w:val="28"/>
        </w:rPr>
        <w:t>.</w:t>
      </w:r>
      <w:r>
        <w:rPr>
          <w:rFonts w:ascii="Bookman Old Style" w:hAnsi="Bookman Old Style" w:cs="Arial"/>
          <w:sz w:val="28"/>
          <w:szCs w:val="28"/>
        </w:rPr>
        <w:t xml:space="preserve"> </w:t>
      </w:r>
      <w:r w:rsidR="006647BB">
        <w:rPr>
          <w:rFonts w:ascii="Bookman Old Style" w:hAnsi="Bookman Old Style" w:cs="Arial"/>
          <w:sz w:val="28"/>
          <w:szCs w:val="28"/>
        </w:rPr>
        <w:t>Sumado a ello,</w:t>
      </w:r>
      <w:r w:rsidRPr="00D76F2E">
        <w:rPr>
          <w:rFonts w:ascii="Bookman Old Style" w:hAnsi="Bookman Old Style" w:cs="Arial"/>
          <w:sz w:val="28"/>
          <w:szCs w:val="28"/>
        </w:rPr>
        <w:t xml:space="preserve"> el embate debe estar dirigido a derruir los falsos juicios de las normas que gobiernan el caso, bien sea porque el </w:t>
      </w:r>
      <w:r w:rsidRPr="000656F1">
        <w:rPr>
          <w:rFonts w:ascii="Bookman Old Style" w:hAnsi="Bookman Old Style" w:cs="Arial"/>
          <w:i/>
          <w:sz w:val="28"/>
          <w:szCs w:val="28"/>
        </w:rPr>
        <w:t>ad quem</w:t>
      </w:r>
      <w:r>
        <w:rPr>
          <w:rFonts w:ascii="Bookman Old Style" w:hAnsi="Bookman Old Style" w:cs="Arial"/>
          <w:sz w:val="28"/>
          <w:szCs w:val="28"/>
        </w:rPr>
        <w:t xml:space="preserve"> </w:t>
      </w:r>
      <w:r w:rsidRPr="00D76F2E">
        <w:rPr>
          <w:rFonts w:ascii="Bookman Old Style" w:hAnsi="Bookman Old Style" w:cs="Arial"/>
          <w:sz w:val="28"/>
          <w:szCs w:val="28"/>
        </w:rPr>
        <w:t>no las tuvo en cuenta</w:t>
      </w:r>
      <w:r>
        <w:rPr>
          <w:rFonts w:ascii="Bookman Old Style" w:hAnsi="Bookman Old Style" w:cs="Arial"/>
          <w:sz w:val="28"/>
          <w:szCs w:val="28"/>
        </w:rPr>
        <w:t xml:space="preserve"> (falta de aplicación)</w:t>
      </w:r>
      <w:r w:rsidRPr="00D76F2E">
        <w:rPr>
          <w:rFonts w:ascii="Bookman Old Style" w:hAnsi="Bookman Old Style" w:cs="Arial"/>
          <w:sz w:val="28"/>
          <w:szCs w:val="28"/>
        </w:rPr>
        <w:t>, se equivocó al elegirlas</w:t>
      </w:r>
      <w:r>
        <w:rPr>
          <w:rFonts w:ascii="Bookman Old Style" w:hAnsi="Bookman Old Style" w:cs="Arial"/>
          <w:sz w:val="28"/>
          <w:szCs w:val="28"/>
        </w:rPr>
        <w:t xml:space="preserve"> (aplicación indebida)</w:t>
      </w:r>
      <w:r w:rsidRPr="00D76F2E">
        <w:rPr>
          <w:rFonts w:ascii="Bookman Old Style" w:hAnsi="Bookman Old Style" w:cs="Arial"/>
          <w:sz w:val="28"/>
          <w:szCs w:val="28"/>
        </w:rPr>
        <w:t xml:space="preserve"> o, a pesar de ser las correctas, les da una interpretación ajena a su alcance</w:t>
      </w:r>
      <w:r>
        <w:rPr>
          <w:rFonts w:ascii="Bookman Old Style" w:hAnsi="Bookman Old Style" w:cs="Arial"/>
          <w:sz w:val="28"/>
          <w:szCs w:val="28"/>
        </w:rPr>
        <w:t xml:space="preserve"> (interpretación errónea)</w:t>
      </w:r>
      <w:r w:rsidRPr="00D76F2E">
        <w:rPr>
          <w:rFonts w:ascii="Bookman Old Style" w:hAnsi="Bookman Old Style" w:cs="Arial"/>
          <w:sz w:val="28"/>
          <w:szCs w:val="28"/>
        </w:rPr>
        <w:t>.</w:t>
      </w:r>
    </w:p>
    <w:p w14:paraId="5B1A6F46" w14:textId="77777777" w:rsidR="009330B6" w:rsidRDefault="009330B6" w:rsidP="00B74FA4">
      <w:pPr>
        <w:spacing w:line="360" w:lineRule="auto"/>
        <w:ind w:firstLine="709"/>
        <w:jc w:val="both"/>
        <w:rPr>
          <w:rFonts w:ascii="Bookman Old Style" w:hAnsi="Bookman Old Style" w:cs="Arial"/>
          <w:sz w:val="28"/>
          <w:szCs w:val="28"/>
        </w:rPr>
      </w:pPr>
    </w:p>
    <w:p w14:paraId="202BAC38" w14:textId="77777777" w:rsidR="00B74FA4" w:rsidRPr="00C83FDD" w:rsidRDefault="00B74FA4" w:rsidP="00B74FA4">
      <w:pPr>
        <w:pStyle w:val="Sangra3detindependiente"/>
        <w:spacing w:after="0" w:line="360" w:lineRule="auto"/>
        <w:ind w:left="0" w:firstLine="708"/>
        <w:jc w:val="both"/>
        <w:rPr>
          <w:rFonts w:ascii="Bookman Old Style" w:hAnsi="Bookman Old Style" w:cs="Arial"/>
          <w:sz w:val="28"/>
          <w:szCs w:val="28"/>
          <w:lang w:val="fr-FR"/>
        </w:rPr>
      </w:pPr>
      <w:r>
        <w:rPr>
          <w:rFonts w:ascii="Bookman Old Style" w:hAnsi="Bookman Old Style" w:cs="Arial"/>
          <w:sz w:val="28"/>
          <w:szCs w:val="28"/>
        </w:rPr>
        <w:t xml:space="preserve">4. La parte actora, recurrente, a través del medio extraordinario, </w:t>
      </w:r>
      <w:r w:rsidR="006647BB">
        <w:rPr>
          <w:rFonts w:ascii="Bookman Old Style" w:hAnsi="Bookman Old Style" w:cs="Arial"/>
          <w:sz w:val="28"/>
          <w:szCs w:val="28"/>
        </w:rPr>
        <w:t>soporta su censura en</w:t>
      </w:r>
      <w:r>
        <w:rPr>
          <w:rFonts w:ascii="Bookman Old Style" w:hAnsi="Bookman Old Style" w:cs="Arial"/>
          <w:sz w:val="28"/>
          <w:szCs w:val="28"/>
        </w:rPr>
        <w:t xml:space="preserve"> dos cargos por violación de la ley </w:t>
      </w:r>
      <w:r w:rsidRPr="006647BB">
        <w:rPr>
          <w:rFonts w:ascii="Bookman Old Style" w:hAnsi="Bookman Old Style" w:cs="Arial"/>
          <w:sz w:val="28"/>
          <w:szCs w:val="28"/>
        </w:rPr>
        <w:t xml:space="preserve">sustancial, </w:t>
      </w:r>
      <w:r w:rsidR="00C01529" w:rsidRPr="006647BB">
        <w:rPr>
          <w:rFonts w:ascii="Bookman Old Style" w:hAnsi="Bookman Old Style" w:cs="Arial"/>
          <w:sz w:val="28"/>
          <w:szCs w:val="28"/>
        </w:rPr>
        <w:t xml:space="preserve">ambos por la vía directa, </w:t>
      </w:r>
      <w:r w:rsidR="006647BB">
        <w:rPr>
          <w:rFonts w:ascii="Bookman Old Style" w:hAnsi="Bookman Old Style" w:cs="Arial"/>
          <w:sz w:val="28"/>
          <w:szCs w:val="28"/>
        </w:rPr>
        <w:t>al encontrar infringido</w:t>
      </w:r>
      <w:r w:rsidR="00C01529" w:rsidRPr="006647BB">
        <w:rPr>
          <w:rFonts w:ascii="Bookman Old Style" w:hAnsi="Bookman Old Style" w:cs="Arial"/>
          <w:sz w:val="28"/>
          <w:szCs w:val="28"/>
        </w:rPr>
        <w:t xml:space="preserve"> el artículo 1775 del Código Civil</w:t>
      </w:r>
      <w:r w:rsidR="006647BB" w:rsidRPr="006647BB">
        <w:rPr>
          <w:rFonts w:ascii="Bookman Old Style" w:hAnsi="Bookman Old Style" w:cs="Arial"/>
          <w:sz w:val="28"/>
          <w:szCs w:val="28"/>
        </w:rPr>
        <w:t>.</w:t>
      </w:r>
      <w:r w:rsidR="00C01529" w:rsidRPr="006647BB">
        <w:rPr>
          <w:rFonts w:ascii="Bookman Old Style" w:hAnsi="Bookman Old Style" w:cs="Arial"/>
          <w:sz w:val="28"/>
          <w:szCs w:val="28"/>
        </w:rPr>
        <w:t xml:space="preserve"> </w:t>
      </w:r>
      <w:r w:rsidR="006647BB" w:rsidRPr="006647BB">
        <w:rPr>
          <w:rFonts w:ascii="Bookman Old Style" w:hAnsi="Bookman Old Style" w:cs="Arial"/>
          <w:sz w:val="28"/>
          <w:szCs w:val="28"/>
        </w:rPr>
        <w:t>A</w:t>
      </w:r>
      <w:r w:rsidR="00C01529" w:rsidRPr="006647BB">
        <w:rPr>
          <w:rFonts w:ascii="Bookman Old Style" w:hAnsi="Bookman Old Style" w:cs="Arial"/>
          <w:sz w:val="28"/>
          <w:szCs w:val="28"/>
        </w:rPr>
        <w:t>demás</w:t>
      </w:r>
      <w:r w:rsidR="00F276C9" w:rsidRPr="006647BB">
        <w:rPr>
          <w:rFonts w:ascii="Bookman Old Style" w:hAnsi="Bookman Old Style" w:cs="Arial"/>
          <w:sz w:val="28"/>
          <w:szCs w:val="28"/>
        </w:rPr>
        <w:t>,</w:t>
      </w:r>
      <w:r w:rsidR="00C01529" w:rsidRPr="006647BB">
        <w:rPr>
          <w:rFonts w:ascii="Bookman Old Style" w:hAnsi="Bookman Old Style" w:cs="Arial"/>
          <w:sz w:val="28"/>
          <w:szCs w:val="28"/>
        </w:rPr>
        <w:t xml:space="preserve"> </w:t>
      </w:r>
      <w:r w:rsidR="006647BB">
        <w:rPr>
          <w:rFonts w:ascii="Bookman Old Style" w:hAnsi="Bookman Old Style" w:cs="Arial"/>
          <w:sz w:val="28"/>
          <w:szCs w:val="28"/>
        </w:rPr>
        <w:t>ambos cargos aparejan cuestiones conexas y similares. Por tales razones, aquellos se conjuntarán</w:t>
      </w:r>
      <w:r w:rsidR="00F276C9">
        <w:rPr>
          <w:rFonts w:ascii="Bookman Old Style" w:hAnsi="Bookman Old Style" w:cs="Arial"/>
          <w:sz w:val="28"/>
          <w:szCs w:val="28"/>
        </w:rPr>
        <w:t xml:space="preserve"> para efectos de su resolución</w:t>
      </w:r>
      <w:r w:rsidR="006647BB">
        <w:rPr>
          <w:rFonts w:ascii="Bookman Old Style" w:hAnsi="Bookman Old Style" w:cs="Arial"/>
          <w:sz w:val="28"/>
          <w:szCs w:val="28"/>
        </w:rPr>
        <w:t>.</w:t>
      </w:r>
    </w:p>
    <w:p w14:paraId="467AA760" w14:textId="77777777" w:rsidR="00B74FA4" w:rsidRPr="00C83FDD" w:rsidRDefault="00B74FA4" w:rsidP="00B74FA4">
      <w:pPr>
        <w:autoSpaceDE w:val="0"/>
        <w:autoSpaceDN w:val="0"/>
        <w:spacing w:line="360" w:lineRule="auto"/>
        <w:ind w:firstLine="709"/>
        <w:jc w:val="both"/>
        <w:rPr>
          <w:rFonts w:ascii="Bookman Old Style" w:eastAsia="Times New Roman" w:hAnsi="Bookman Old Style" w:cs="Arial"/>
          <w:i/>
          <w:sz w:val="24"/>
          <w:szCs w:val="24"/>
          <w:lang w:val="fr-FR"/>
        </w:rPr>
      </w:pPr>
    </w:p>
    <w:p w14:paraId="6A73EF34" w14:textId="77777777" w:rsidR="000F73D2" w:rsidRDefault="00B74FA4" w:rsidP="00B74FA4">
      <w:pPr>
        <w:autoSpaceDE w:val="0"/>
        <w:autoSpaceDN w:val="0"/>
        <w:spacing w:line="360" w:lineRule="auto"/>
        <w:ind w:firstLine="708"/>
        <w:jc w:val="both"/>
        <w:rPr>
          <w:rFonts w:ascii="Bookman Old Style" w:eastAsia="Times New Roman" w:hAnsi="Bookman Old Style" w:cs="Arial"/>
          <w:sz w:val="28"/>
          <w:szCs w:val="28"/>
        </w:rPr>
      </w:pPr>
      <w:r>
        <w:rPr>
          <w:rFonts w:ascii="Bookman Old Style" w:eastAsia="Times New Roman" w:hAnsi="Bookman Old Style" w:cs="Arial"/>
          <w:sz w:val="28"/>
          <w:szCs w:val="28"/>
        </w:rPr>
        <w:t>5. Asevera el casacionista</w:t>
      </w:r>
      <w:r w:rsidR="00DD3F4F">
        <w:rPr>
          <w:rFonts w:ascii="Bookman Old Style" w:eastAsia="Times New Roman" w:hAnsi="Bookman Old Style" w:cs="Arial"/>
          <w:sz w:val="28"/>
          <w:szCs w:val="28"/>
        </w:rPr>
        <w:t xml:space="preserve"> que</w:t>
      </w:r>
      <w:r w:rsidR="00E5280E">
        <w:rPr>
          <w:rFonts w:ascii="Bookman Old Style" w:eastAsia="Times New Roman" w:hAnsi="Bookman Old Style" w:cs="Arial"/>
          <w:sz w:val="28"/>
          <w:szCs w:val="28"/>
        </w:rPr>
        <w:t>, contrario a lo afirmado por</w:t>
      </w:r>
      <w:r>
        <w:rPr>
          <w:rFonts w:ascii="Bookman Old Style" w:eastAsia="Times New Roman" w:hAnsi="Bookman Old Style" w:cs="Arial"/>
          <w:sz w:val="28"/>
          <w:szCs w:val="28"/>
        </w:rPr>
        <w:t xml:space="preserve"> el </w:t>
      </w:r>
      <w:r>
        <w:rPr>
          <w:rFonts w:ascii="Bookman Old Style" w:eastAsia="Times New Roman" w:hAnsi="Bookman Old Style" w:cs="Arial"/>
          <w:i/>
          <w:sz w:val="28"/>
          <w:szCs w:val="28"/>
        </w:rPr>
        <w:t>ad quem</w:t>
      </w:r>
      <w:r w:rsidR="00600086">
        <w:rPr>
          <w:rFonts w:ascii="Bookman Old Style" w:eastAsia="Times New Roman" w:hAnsi="Bookman Old Style" w:cs="Arial"/>
          <w:i/>
          <w:sz w:val="28"/>
          <w:szCs w:val="28"/>
        </w:rPr>
        <w:t>,</w:t>
      </w:r>
      <w:r>
        <w:rPr>
          <w:rFonts w:ascii="Bookman Old Style" w:eastAsia="Times New Roman" w:hAnsi="Bookman Old Style" w:cs="Arial"/>
          <w:i/>
          <w:sz w:val="28"/>
          <w:szCs w:val="28"/>
        </w:rPr>
        <w:t xml:space="preserve"> </w:t>
      </w:r>
      <w:r w:rsidR="00E5280E">
        <w:rPr>
          <w:rFonts w:ascii="Bookman Old Style" w:eastAsia="Times New Roman" w:hAnsi="Bookman Old Style" w:cs="Arial"/>
          <w:sz w:val="28"/>
          <w:szCs w:val="28"/>
        </w:rPr>
        <w:t>es un tercero</w:t>
      </w:r>
      <w:r w:rsidR="00F437BC">
        <w:rPr>
          <w:rFonts w:ascii="Bookman Old Style" w:eastAsia="Times New Roman" w:hAnsi="Bookman Old Style" w:cs="Arial"/>
          <w:sz w:val="28"/>
          <w:szCs w:val="28"/>
        </w:rPr>
        <w:t xml:space="preserve"> en relación con </w:t>
      </w:r>
      <w:r w:rsidR="00DD3F4F">
        <w:rPr>
          <w:rFonts w:ascii="Bookman Old Style" w:eastAsia="Times New Roman" w:hAnsi="Bookman Old Style" w:cs="Arial"/>
          <w:sz w:val="28"/>
          <w:szCs w:val="28"/>
        </w:rPr>
        <w:t>la</w:t>
      </w:r>
      <w:r w:rsidR="00F437BC">
        <w:rPr>
          <w:rFonts w:ascii="Bookman Old Style" w:eastAsia="Times New Roman" w:hAnsi="Bookman Old Style" w:cs="Arial"/>
          <w:sz w:val="28"/>
          <w:szCs w:val="28"/>
        </w:rPr>
        <w:t xml:space="preserve"> abdicación</w:t>
      </w:r>
      <w:r w:rsidR="00E5280E">
        <w:rPr>
          <w:rFonts w:ascii="Bookman Old Style" w:eastAsia="Times New Roman" w:hAnsi="Bookman Old Style" w:cs="Arial"/>
          <w:sz w:val="28"/>
          <w:szCs w:val="28"/>
        </w:rPr>
        <w:t xml:space="preserve"> de los gananciales</w:t>
      </w:r>
      <w:r w:rsidR="00DD3F4F">
        <w:rPr>
          <w:rFonts w:ascii="Bookman Old Style" w:eastAsia="Times New Roman" w:hAnsi="Bookman Old Style" w:cs="Arial"/>
          <w:sz w:val="28"/>
          <w:szCs w:val="28"/>
        </w:rPr>
        <w:t>. Asegura que dicha calidad</w:t>
      </w:r>
      <w:r w:rsidR="00E5280E">
        <w:rPr>
          <w:rFonts w:ascii="Bookman Old Style" w:eastAsia="Times New Roman" w:hAnsi="Bookman Old Style" w:cs="Arial"/>
          <w:sz w:val="28"/>
          <w:szCs w:val="28"/>
        </w:rPr>
        <w:t xml:space="preserve"> </w:t>
      </w:r>
      <w:r w:rsidR="00F437BC">
        <w:rPr>
          <w:rFonts w:ascii="Bookman Old Style" w:eastAsia="Times New Roman" w:hAnsi="Bookman Old Style" w:cs="Arial"/>
          <w:sz w:val="28"/>
          <w:szCs w:val="28"/>
        </w:rPr>
        <w:t xml:space="preserve">se </w:t>
      </w:r>
      <w:r w:rsidR="009436EB">
        <w:rPr>
          <w:rFonts w:ascii="Bookman Old Style" w:eastAsia="Times New Roman" w:hAnsi="Bookman Old Style" w:cs="Arial"/>
          <w:sz w:val="28"/>
          <w:szCs w:val="28"/>
        </w:rPr>
        <w:t xml:space="preserve">deriva de su condición de heredero de </w:t>
      </w:r>
      <w:r w:rsidR="00DD3F4F">
        <w:rPr>
          <w:rFonts w:ascii="Bookman Old Style" w:eastAsia="Times New Roman" w:hAnsi="Bookman Old Style" w:cs="Arial"/>
          <w:sz w:val="28"/>
          <w:szCs w:val="28"/>
        </w:rPr>
        <w:t xml:space="preserve">Álvaro Gómez Prada </w:t>
      </w:r>
      <w:r w:rsidR="009436EB">
        <w:rPr>
          <w:rFonts w:ascii="Bookman Old Style" w:eastAsia="Times New Roman" w:hAnsi="Bookman Old Style" w:cs="Arial"/>
          <w:sz w:val="28"/>
          <w:szCs w:val="28"/>
        </w:rPr>
        <w:t xml:space="preserve">en el </w:t>
      </w:r>
      <w:r w:rsidR="009436EB">
        <w:rPr>
          <w:rFonts w:ascii="Bookman Old Style" w:eastAsia="Times New Roman" w:hAnsi="Bookman Old Style" w:cs="Arial"/>
          <w:sz w:val="28"/>
          <w:szCs w:val="28"/>
        </w:rPr>
        <w:lastRenderedPageBreak/>
        <w:t>primer orden sucesoral</w:t>
      </w:r>
      <w:r w:rsidR="00DD3F4F">
        <w:rPr>
          <w:rFonts w:ascii="Bookman Old Style" w:eastAsia="Times New Roman" w:hAnsi="Bookman Old Style" w:cs="Arial"/>
          <w:sz w:val="28"/>
          <w:szCs w:val="28"/>
        </w:rPr>
        <w:t xml:space="preserve"> y que</w:t>
      </w:r>
      <w:r w:rsidR="009436EB">
        <w:rPr>
          <w:rFonts w:ascii="Bookman Old Style" w:eastAsia="Times New Roman" w:hAnsi="Bookman Old Style" w:cs="Arial"/>
          <w:sz w:val="28"/>
          <w:szCs w:val="28"/>
        </w:rPr>
        <w:t xml:space="preserve"> </w:t>
      </w:r>
      <w:r w:rsidR="00DD3F4F">
        <w:rPr>
          <w:rFonts w:ascii="Bookman Old Style" w:eastAsia="Times New Roman" w:hAnsi="Bookman Old Style" w:cs="Arial"/>
          <w:sz w:val="28"/>
          <w:szCs w:val="28"/>
        </w:rPr>
        <w:t>el acto cuestionado</w:t>
      </w:r>
      <w:r w:rsidR="009436EB">
        <w:rPr>
          <w:rFonts w:ascii="Bookman Old Style" w:eastAsia="Times New Roman" w:hAnsi="Bookman Old Style" w:cs="Arial"/>
          <w:sz w:val="28"/>
          <w:szCs w:val="28"/>
        </w:rPr>
        <w:t xml:space="preserve"> lesionó su derecho herencial </w:t>
      </w:r>
      <w:r w:rsidR="00DD3F4F">
        <w:rPr>
          <w:rFonts w:ascii="Bookman Old Style" w:eastAsia="Times New Roman" w:hAnsi="Bookman Old Style" w:cs="Arial"/>
          <w:sz w:val="28"/>
          <w:szCs w:val="28"/>
        </w:rPr>
        <w:t>(</w:t>
      </w:r>
      <w:r w:rsidR="009436EB">
        <w:rPr>
          <w:rFonts w:ascii="Bookman Old Style" w:eastAsia="Times New Roman" w:hAnsi="Bookman Old Style" w:cs="Arial"/>
          <w:sz w:val="28"/>
          <w:szCs w:val="28"/>
        </w:rPr>
        <w:t>legítima rig</w:t>
      </w:r>
      <w:r w:rsidR="003517B9">
        <w:rPr>
          <w:rFonts w:ascii="Bookman Old Style" w:eastAsia="Times New Roman" w:hAnsi="Bookman Old Style" w:cs="Arial"/>
          <w:sz w:val="28"/>
          <w:szCs w:val="28"/>
        </w:rPr>
        <w:t>u</w:t>
      </w:r>
      <w:r w:rsidR="009436EB">
        <w:rPr>
          <w:rFonts w:ascii="Bookman Old Style" w:eastAsia="Times New Roman" w:hAnsi="Bookman Old Style" w:cs="Arial"/>
          <w:sz w:val="28"/>
          <w:szCs w:val="28"/>
        </w:rPr>
        <w:t>rosa</w:t>
      </w:r>
      <w:r w:rsidR="00DD3F4F">
        <w:rPr>
          <w:rFonts w:ascii="Bookman Old Style" w:eastAsia="Times New Roman" w:hAnsi="Bookman Old Style" w:cs="Arial"/>
          <w:sz w:val="28"/>
          <w:szCs w:val="28"/>
        </w:rPr>
        <w:t>)</w:t>
      </w:r>
      <w:r w:rsidR="009436EB">
        <w:rPr>
          <w:rFonts w:ascii="Bookman Old Style" w:eastAsia="Times New Roman" w:hAnsi="Bookman Old Style" w:cs="Arial"/>
          <w:sz w:val="28"/>
          <w:szCs w:val="28"/>
        </w:rPr>
        <w:t xml:space="preserve">, </w:t>
      </w:r>
      <w:r w:rsidR="00B82CBB">
        <w:rPr>
          <w:rFonts w:ascii="Bookman Old Style" w:eastAsia="Times New Roman" w:hAnsi="Bookman Old Style" w:cs="Arial"/>
          <w:sz w:val="28"/>
          <w:szCs w:val="28"/>
        </w:rPr>
        <w:t xml:space="preserve">razón </w:t>
      </w:r>
      <w:r w:rsidR="00CB407E">
        <w:rPr>
          <w:rFonts w:ascii="Bookman Old Style" w:eastAsia="Times New Roman" w:hAnsi="Bookman Old Style" w:cs="Arial"/>
          <w:sz w:val="28"/>
          <w:szCs w:val="28"/>
        </w:rPr>
        <w:t>para</w:t>
      </w:r>
      <w:r w:rsidR="00B82CBB">
        <w:rPr>
          <w:rFonts w:ascii="Bookman Old Style" w:eastAsia="Times New Roman" w:hAnsi="Bookman Old Style" w:cs="Arial"/>
          <w:sz w:val="28"/>
          <w:szCs w:val="28"/>
        </w:rPr>
        <w:t xml:space="preserve"> demanda</w:t>
      </w:r>
      <w:r w:rsidR="00CB407E">
        <w:rPr>
          <w:rFonts w:ascii="Bookman Old Style" w:eastAsia="Times New Roman" w:hAnsi="Bookman Old Style" w:cs="Arial"/>
          <w:sz w:val="28"/>
          <w:szCs w:val="28"/>
        </w:rPr>
        <w:t>r</w:t>
      </w:r>
      <w:r w:rsidR="00B82CBB">
        <w:rPr>
          <w:rFonts w:ascii="Bookman Old Style" w:eastAsia="Times New Roman" w:hAnsi="Bookman Old Style" w:cs="Arial"/>
          <w:sz w:val="28"/>
          <w:szCs w:val="28"/>
        </w:rPr>
        <w:t xml:space="preserve"> la </w:t>
      </w:r>
      <w:r w:rsidR="00CB407E">
        <w:rPr>
          <w:rFonts w:ascii="Bookman Old Style" w:eastAsia="Times New Roman" w:hAnsi="Bookman Old Style" w:cs="Arial"/>
          <w:sz w:val="28"/>
          <w:szCs w:val="28"/>
        </w:rPr>
        <w:t xml:space="preserve">declaración de su </w:t>
      </w:r>
      <w:r w:rsidR="00B82CBB">
        <w:rPr>
          <w:rFonts w:ascii="Bookman Old Style" w:eastAsia="Times New Roman" w:hAnsi="Bookman Old Style" w:cs="Arial"/>
          <w:sz w:val="28"/>
          <w:szCs w:val="28"/>
        </w:rPr>
        <w:t>inoponibilidad</w:t>
      </w:r>
      <w:r w:rsidR="00CB407E">
        <w:rPr>
          <w:rFonts w:ascii="Bookman Old Style" w:eastAsia="Times New Roman" w:hAnsi="Bookman Old Style" w:cs="Arial"/>
          <w:sz w:val="28"/>
          <w:szCs w:val="28"/>
        </w:rPr>
        <w:t xml:space="preserve"> y</w:t>
      </w:r>
      <w:r w:rsidR="00DD3F4F">
        <w:rPr>
          <w:rFonts w:ascii="Bookman Old Style" w:eastAsia="Times New Roman" w:hAnsi="Bookman Old Style" w:cs="Arial"/>
          <w:sz w:val="28"/>
          <w:szCs w:val="28"/>
        </w:rPr>
        <w:t>,</w:t>
      </w:r>
      <w:r w:rsidR="00CB407E">
        <w:rPr>
          <w:rFonts w:ascii="Bookman Old Style" w:eastAsia="Times New Roman" w:hAnsi="Bookman Old Style" w:cs="Arial"/>
          <w:sz w:val="28"/>
          <w:szCs w:val="28"/>
        </w:rPr>
        <w:t xml:space="preserve"> </w:t>
      </w:r>
      <w:r w:rsidR="00B82CBB">
        <w:rPr>
          <w:rFonts w:ascii="Bookman Old Style" w:eastAsia="Times New Roman" w:hAnsi="Bookman Old Style" w:cs="Arial"/>
          <w:sz w:val="28"/>
          <w:szCs w:val="28"/>
        </w:rPr>
        <w:t>de esta forma</w:t>
      </w:r>
      <w:r w:rsidR="00DD3F4F">
        <w:rPr>
          <w:rFonts w:ascii="Bookman Old Style" w:eastAsia="Times New Roman" w:hAnsi="Bookman Old Style" w:cs="Arial"/>
          <w:sz w:val="28"/>
          <w:szCs w:val="28"/>
        </w:rPr>
        <w:t>,</w:t>
      </w:r>
      <w:r w:rsidR="00B82CBB">
        <w:rPr>
          <w:rFonts w:ascii="Bookman Old Style" w:eastAsia="Times New Roman" w:hAnsi="Bookman Old Style" w:cs="Arial"/>
          <w:sz w:val="28"/>
          <w:szCs w:val="28"/>
        </w:rPr>
        <w:t xml:space="preserve"> tener acceso a la masa herencial de los bienes de su progenitor a través del trámite sucesoral</w:t>
      </w:r>
      <w:r w:rsidR="000F73D2">
        <w:rPr>
          <w:rFonts w:ascii="Bookman Old Style" w:eastAsia="Times New Roman" w:hAnsi="Bookman Old Style" w:cs="Arial"/>
          <w:sz w:val="28"/>
          <w:szCs w:val="28"/>
        </w:rPr>
        <w:t>.</w:t>
      </w:r>
    </w:p>
    <w:p w14:paraId="7CAC9C37" w14:textId="77777777" w:rsidR="00512F48" w:rsidRDefault="00512F48" w:rsidP="00B74FA4">
      <w:pPr>
        <w:autoSpaceDE w:val="0"/>
        <w:autoSpaceDN w:val="0"/>
        <w:spacing w:line="360" w:lineRule="auto"/>
        <w:ind w:firstLine="708"/>
        <w:jc w:val="both"/>
        <w:rPr>
          <w:rFonts w:ascii="Bookman Old Style" w:eastAsia="Times New Roman" w:hAnsi="Bookman Old Style" w:cs="Arial"/>
          <w:sz w:val="28"/>
          <w:szCs w:val="28"/>
        </w:rPr>
      </w:pPr>
    </w:p>
    <w:p w14:paraId="04F1F3A1" w14:textId="77777777" w:rsidR="00B74FA4" w:rsidRDefault="000F73D2" w:rsidP="00600259">
      <w:pPr>
        <w:autoSpaceDE w:val="0"/>
        <w:autoSpaceDN w:val="0"/>
        <w:spacing w:line="360" w:lineRule="auto"/>
        <w:ind w:firstLine="708"/>
        <w:jc w:val="both"/>
        <w:rPr>
          <w:rFonts w:ascii="Bookman Old Style" w:eastAsia="Times New Roman" w:hAnsi="Bookman Old Style" w:cs="Arial"/>
          <w:sz w:val="28"/>
          <w:szCs w:val="28"/>
        </w:rPr>
      </w:pPr>
      <w:r>
        <w:rPr>
          <w:rFonts w:ascii="Bookman Old Style" w:eastAsia="Times New Roman" w:hAnsi="Bookman Old Style" w:cs="Arial"/>
          <w:sz w:val="28"/>
          <w:szCs w:val="28"/>
        </w:rPr>
        <w:t xml:space="preserve">El anterior </w:t>
      </w:r>
      <w:r w:rsidR="00B82CBB">
        <w:rPr>
          <w:rFonts w:ascii="Bookman Old Style" w:eastAsia="Times New Roman" w:hAnsi="Bookman Old Style" w:cs="Arial"/>
          <w:sz w:val="28"/>
          <w:szCs w:val="28"/>
        </w:rPr>
        <w:t xml:space="preserve">pedimento de ineficacia se apalanca en el </w:t>
      </w:r>
      <w:r w:rsidR="00B82CBB" w:rsidRPr="00410DBD">
        <w:rPr>
          <w:rFonts w:ascii="Bookman Old Style" w:eastAsia="Times New Roman" w:hAnsi="Bookman Old Style" w:cs="Arial"/>
          <w:sz w:val="28"/>
          <w:szCs w:val="28"/>
        </w:rPr>
        <w:t>precedente judicial</w:t>
      </w:r>
      <w:r w:rsidR="00B82CBB">
        <w:rPr>
          <w:rFonts w:ascii="Bookman Old Style" w:eastAsia="Times New Roman" w:hAnsi="Bookman Old Style" w:cs="Arial"/>
          <w:sz w:val="28"/>
          <w:szCs w:val="28"/>
        </w:rPr>
        <w:t xml:space="preserve"> constituido </w:t>
      </w:r>
      <w:r w:rsidR="00DD3F4F">
        <w:rPr>
          <w:rFonts w:ascii="Bookman Old Style" w:eastAsia="Times New Roman" w:hAnsi="Bookman Old Style" w:cs="Arial"/>
          <w:sz w:val="28"/>
          <w:szCs w:val="28"/>
        </w:rPr>
        <w:t>en</w:t>
      </w:r>
      <w:r w:rsidR="00B82CBB">
        <w:rPr>
          <w:rFonts w:ascii="Bookman Old Style" w:eastAsia="Times New Roman" w:hAnsi="Bookman Old Style" w:cs="Arial"/>
          <w:sz w:val="28"/>
          <w:szCs w:val="28"/>
        </w:rPr>
        <w:t xml:space="preserve"> la sentencia de 30 de enero de 2006</w:t>
      </w:r>
      <w:r w:rsidR="00600259">
        <w:rPr>
          <w:rFonts w:ascii="Bookman Old Style" w:eastAsia="Times New Roman" w:hAnsi="Bookman Old Style" w:cs="Arial"/>
          <w:sz w:val="28"/>
          <w:szCs w:val="28"/>
        </w:rPr>
        <w:t xml:space="preserve"> (</w:t>
      </w:r>
      <w:r w:rsidR="00B82CBB">
        <w:rPr>
          <w:rFonts w:ascii="Bookman Old Style" w:eastAsia="Times New Roman" w:hAnsi="Bookman Old Style" w:cs="Arial"/>
          <w:sz w:val="28"/>
          <w:szCs w:val="28"/>
        </w:rPr>
        <w:t>proferid</w:t>
      </w:r>
      <w:r>
        <w:rPr>
          <w:rFonts w:ascii="Bookman Old Style" w:eastAsia="Times New Roman" w:hAnsi="Bookman Old Style" w:cs="Arial"/>
          <w:sz w:val="28"/>
          <w:szCs w:val="28"/>
        </w:rPr>
        <w:t>a</w:t>
      </w:r>
      <w:r w:rsidR="00B82CBB">
        <w:rPr>
          <w:rFonts w:ascii="Bookman Old Style" w:eastAsia="Times New Roman" w:hAnsi="Bookman Old Style" w:cs="Arial"/>
          <w:sz w:val="28"/>
          <w:szCs w:val="28"/>
        </w:rPr>
        <w:t xml:space="preserve"> por esta Corporación</w:t>
      </w:r>
      <w:r w:rsidR="00600259">
        <w:rPr>
          <w:rFonts w:ascii="Bookman Old Style" w:eastAsia="Times New Roman" w:hAnsi="Bookman Old Style" w:cs="Arial"/>
          <w:sz w:val="28"/>
          <w:szCs w:val="28"/>
        </w:rPr>
        <w:t>)</w:t>
      </w:r>
      <w:r w:rsidR="007C6248">
        <w:rPr>
          <w:rFonts w:ascii="Bookman Old Style" w:eastAsia="Times New Roman" w:hAnsi="Bookman Old Style" w:cs="Arial"/>
          <w:sz w:val="28"/>
          <w:szCs w:val="28"/>
        </w:rPr>
        <w:t>. En dicha providencia</w:t>
      </w:r>
      <w:r w:rsidR="00B82CBB">
        <w:rPr>
          <w:rFonts w:ascii="Bookman Old Style" w:eastAsia="Times New Roman" w:hAnsi="Bookman Old Style" w:cs="Arial"/>
          <w:sz w:val="28"/>
          <w:szCs w:val="28"/>
        </w:rPr>
        <w:t xml:space="preserve"> se </w:t>
      </w:r>
      <w:r w:rsidR="00600259">
        <w:rPr>
          <w:rFonts w:ascii="Bookman Old Style" w:eastAsia="Times New Roman" w:hAnsi="Bookman Old Style" w:cs="Arial"/>
          <w:sz w:val="28"/>
          <w:szCs w:val="28"/>
        </w:rPr>
        <w:t>aseveró</w:t>
      </w:r>
      <w:r w:rsidR="00B82CBB">
        <w:rPr>
          <w:rFonts w:ascii="Bookman Old Style" w:eastAsia="Times New Roman" w:hAnsi="Bookman Old Style" w:cs="Arial"/>
          <w:sz w:val="28"/>
          <w:szCs w:val="28"/>
        </w:rPr>
        <w:t xml:space="preserve"> que</w:t>
      </w:r>
      <w:r w:rsidR="007C6248">
        <w:rPr>
          <w:rFonts w:ascii="Bookman Old Style" w:eastAsia="Times New Roman" w:hAnsi="Bookman Old Style" w:cs="Arial"/>
          <w:sz w:val="28"/>
          <w:szCs w:val="28"/>
        </w:rPr>
        <w:t>,</w:t>
      </w:r>
      <w:r w:rsidR="00B82CBB">
        <w:rPr>
          <w:rFonts w:ascii="Bookman Old Style" w:eastAsia="Times New Roman" w:hAnsi="Bookman Old Style" w:cs="Arial"/>
          <w:sz w:val="28"/>
          <w:szCs w:val="28"/>
        </w:rPr>
        <w:t xml:space="preserve"> en el supuesto de renuncia a gananciales que hieren el derecho del heredero a la legítima rigurosa, </w:t>
      </w:r>
      <w:r w:rsidR="000B5FE5">
        <w:rPr>
          <w:rFonts w:ascii="Bookman Old Style" w:eastAsia="Times New Roman" w:hAnsi="Bookman Old Style" w:cs="Arial"/>
          <w:sz w:val="28"/>
          <w:szCs w:val="28"/>
        </w:rPr>
        <w:t>la reclamación al respeto de ese derecho</w:t>
      </w:r>
      <w:r w:rsidR="007C6248">
        <w:rPr>
          <w:rFonts w:ascii="Bookman Old Style" w:eastAsia="Times New Roman" w:hAnsi="Bookman Old Style" w:cs="Arial"/>
          <w:sz w:val="28"/>
          <w:szCs w:val="28"/>
        </w:rPr>
        <w:t xml:space="preserve"> por el descendiente</w:t>
      </w:r>
      <w:r w:rsidR="000B5FE5">
        <w:rPr>
          <w:rFonts w:ascii="Bookman Old Style" w:eastAsia="Times New Roman" w:hAnsi="Bookman Old Style" w:cs="Arial"/>
          <w:sz w:val="28"/>
          <w:szCs w:val="28"/>
        </w:rPr>
        <w:t xml:space="preserve"> </w:t>
      </w:r>
      <w:r w:rsidR="0096312C">
        <w:rPr>
          <w:rFonts w:ascii="Bookman Old Style" w:eastAsia="Times New Roman" w:hAnsi="Bookman Old Style" w:cs="Arial"/>
          <w:sz w:val="28"/>
          <w:szCs w:val="28"/>
        </w:rPr>
        <w:t>incumbe a</w:t>
      </w:r>
      <w:r w:rsidR="000B5FE5">
        <w:rPr>
          <w:rFonts w:ascii="Bookman Old Style" w:eastAsia="Times New Roman" w:hAnsi="Bookman Old Style" w:cs="Arial"/>
          <w:sz w:val="28"/>
          <w:szCs w:val="28"/>
        </w:rPr>
        <w:t xml:space="preserve"> un acto </w:t>
      </w:r>
      <w:r w:rsidR="000B5FE5">
        <w:rPr>
          <w:rFonts w:ascii="Bookman Old Style" w:eastAsia="Times New Roman" w:hAnsi="Bookman Old Style" w:cs="Arial"/>
          <w:i/>
          <w:sz w:val="28"/>
          <w:szCs w:val="28"/>
        </w:rPr>
        <w:t xml:space="preserve">in jure propio </w:t>
      </w:r>
      <w:r w:rsidR="000B5FE5" w:rsidRPr="000B5FE5">
        <w:rPr>
          <w:rFonts w:ascii="Bookman Old Style" w:eastAsia="Times New Roman" w:hAnsi="Bookman Old Style" w:cs="Arial"/>
          <w:sz w:val="28"/>
          <w:szCs w:val="28"/>
        </w:rPr>
        <w:t>y no</w:t>
      </w:r>
      <w:r w:rsidR="000B5FE5">
        <w:rPr>
          <w:rFonts w:ascii="Bookman Old Style" w:eastAsia="Times New Roman" w:hAnsi="Bookman Old Style" w:cs="Arial"/>
          <w:i/>
          <w:sz w:val="28"/>
          <w:szCs w:val="28"/>
        </w:rPr>
        <w:t xml:space="preserve"> in jure heredero</w:t>
      </w:r>
      <w:r w:rsidR="007C6248">
        <w:rPr>
          <w:rFonts w:ascii="Bookman Old Style" w:eastAsia="Times New Roman" w:hAnsi="Bookman Old Style" w:cs="Arial"/>
          <w:sz w:val="28"/>
          <w:szCs w:val="28"/>
        </w:rPr>
        <w:t>.</w:t>
      </w:r>
      <w:r w:rsidR="00600259">
        <w:rPr>
          <w:rFonts w:ascii="Bookman Old Style" w:eastAsia="Times New Roman" w:hAnsi="Bookman Old Style" w:cs="Arial"/>
          <w:sz w:val="28"/>
          <w:szCs w:val="28"/>
        </w:rPr>
        <w:t xml:space="preserve"> </w:t>
      </w:r>
      <w:r w:rsidR="007C6248">
        <w:rPr>
          <w:rFonts w:ascii="Bookman Old Style" w:eastAsia="Times New Roman" w:hAnsi="Bookman Old Style" w:cs="Arial"/>
          <w:sz w:val="28"/>
          <w:szCs w:val="28"/>
        </w:rPr>
        <w:t>De manera que el perjuicio sufrido por el heredero</w:t>
      </w:r>
      <w:r w:rsidR="00726F3F">
        <w:rPr>
          <w:rFonts w:ascii="Bookman Old Style" w:eastAsia="Times New Roman" w:hAnsi="Bookman Old Style" w:cs="Arial"/>
          <w:sz w:val="28"/>
          <w:szCs w:val="28"/>
        </w:rPr>
        <w:t xml:space="preserve"> </w:t>
      </w:r>
      <w:r w:rsidR="007C6248">
        <w:rPr>
          <w:rFonts w:ascii="Bookman Old Style" w:eastAsia="Times New Roman" w:hAnsi="Bookman Old Style" w:cs="Arial"/>
          <w:sz w:val="28"/>
          <w:szCs w:val="28"/>
        </w:rPr>
        <w:t>queda</w:t>
      </w:r>
      <w:r w:rsidR="00726F3F">
        <w:rPr>
          <w:rFonts w:ascii="Bookman Old Style" w:eastAsia="Times New Roman" w:hAnsi="Bookman Old Style" w:cs="Arial"/>
          <w:sz w:val="28"/>
          <w:szCs w:val="28"/>
        </w:rPr>
        <w:t xml:space="preserve"> subsumido dentro de</w:t>
      </w:r>
      <w:r w:rsidR="00B82CBB">
        <w:rPr>
          <w:rFonts w:ascii="Bookman Old Style" w:eastAsia="Times New Roman" w:hAnsi="Bookman Old Style" w:cs="Arial"/>
          <w:sz w:val="28"/>
          <w:szCs w:val="28"/>
        </w:rPr>
        <w:t xml:space="preserve"> la hipótesis legal de que </w:t>
      </w:r>
      <w:r w:rsidR="00C14A9B">
        <w:rPr>
          <w:rFonts w:ascii="Bookman Old Style" w:eastAsia="Times New Roman" w:hAnsi="Bookman Old Style" w:cs="Arial"/>
          <w:sz w:val="28"/>
          <w:szCs w:val="28"/>
        </w:rPr>
        <w:t>«</w:t>
      </w:r>
      <w:r w:rsidR="00C14A9B" w:rsidRPr="00C14A9B">
        <w:rPr>
          <w:rFonts w:ascii="Bookman Old Style" w:eastAsia="Times New Roman" w:hAnsi="Bookman Old Style" w:cs="Arial"/>
          <w:i/>
          <w:sz w:val="24"/>
          <w:szCs w:val="24"/>
        </w:rPr>
        <w:t>cualquiera de los cónyuges siempre que sea capaz, podrá renunciar a los gananciales que resulten a la disolución de la sociedad conyugal</w:t>
      </w:r>
      <w:r w:rsidR="00C14A9B">
        <w:rPr>
          <w:rFonts w:ascii="Bookman Old Style" w:eastAsia="Times New Roman" w:hAnsi="Bookman Old Style" w:cs="Arial"/>
          <w:sz w:val="28"/>
          <w:szCs w:val="28"/>
        </w:rPr>
        <w:t xml:space="preserve">, </w:t>
      </w:r>
      <w:r w:rsidR="00C14A9B" w:rsidRPr="00C14A9B">
        <w:rPr>
          <w:rFonts w:ascii="Bookman Old Style" w:eastAsia="Times New Roman" w:hAnsi="Bookman Old Style" w:cs="Arial"/>
          <w:i/>
          <w:sz w:val="24"/>
          <w:szCs w:val="24"/>
          <w:u w:val="single"/>
        </w:rPr>
        <w:t>sin perjuicio de terceros</w:t>
      </w:r>
      <w:r w:rsidR="00C14A9B">
        <w:rPr>
          <w:rFonts w:ascii="Bookman Old Style" w:eastAsia="Times New Roman" w:hAnsi="Bookman Old Style" w:cs="Arial"/>
          <w:i/>
          <w:sz w:val="24"/>
          <w:szCs w:val="24"/>
        </w:rPr>
        <w:t xml:space="preserve">» </w:t>
      </w:r>
      <w:r w:rsidR="00C14A9B">
        <w:rPr>
          <w:rFonts w:ascii="Bookman Old Style" w:eastAsia="Times New Roman" w:hAnsi="Bookman Old Style" w:cs="Arial"/>
          <w:sz w:val="28"/>
          <w:szCs w:val="28"/>
        </w:rPr>
        <w:t xml:space="preserve">(artículo 1775 del Código Civil, modificado por el Decreto 2820 de 1974, artículo. 61; subraya fuera del texto original). </w:t>
      </w:r>
      <w:r w:rsidR="009436EB">
        <w:rPr>
          <w:rFonts w:ascii="Bookman Old Style" w:eastAsia="Times New Roman" w:hAnsi="Bookman Old Style" w:cs="Arial"/>
          <w:sz w:val="28"/>
          <w:szCs w:val="28"/>
        </w:rPr>
        <w:t xml:space="preserve"> </w:t>
      </w:r>
    </w:p>
    <w:p w14:paraId="511C0E86" w14:textId="77777777" w:rsidR="00B74FA4" w:rsidRDefault="00B74FA4" w:rsidP="00B74FA4">
      <w:pPr>
        <w:autoSpaceDE w:val="0"/>
        <w:autoSpaceDN w:val="0"/>
        <w:spacing w:line="360" w:lineRule="auto"/>
        <w:ind w:firstLine="708"/>
        <w:jc w:val="both"/>
        <w:rPr>
          <w:rFonts w:ascii="Bookman Old Style" w:eastAsia="Times New Roman" w:hAnsi="Bookman Old Style" w:cs="Arial"/>
          <w:sz w:val="28"/>
          <w:szCs w:val="28"/>
        </w:rPr>
      </w:pPr>
    </w:p>
    <w:p w14:paraId="3C661CDF" w14:textId="77777777" w:rsidR="007060B8" w:rsidRDefault="007060B8" w:rsidP="000F73D2">
      <w:pPr>
        <w:autoSpaceDE w:val="0"/>
        <w:autoSpaceDN w:val="0"/>
        <w:spacing w:line="360" w:lineRule="auto"/>
        <w:ind w:firstLine="709"/>
        <w:jc w:val="both"/>
        <w:rPr>
          <w:rFonts w:ascii="Bookman Old Style" w:hAnsi="Bookman Old Style"/>
          <w:sz w:val="28"/>
          <w:szCs w:val="28"/>
        </w:rPr>
      </w:pPr>
      <w:r>
        <w:rPr>
          <w:rFonts w:ascii="Bookman Old Style" w:hAnsi="Bookman Old Style"/>
          <w:sz w:val="28"/>
          <w:szCs w:val="28"/>
        </w:rPr>
        <w:t>Bajo el designio de considerarse tercero</w:t>
      </w:r>
      <w:r w:rsidR="00600259">
        <w:rPr>
          <w:rFonts w:ascii="Bookman Old Style" w:hAnsi="Bookman Old Style"/>
          <w:sz w:val="28"/>
          <w:szCs w:val="28"/>
        </w:rPr>
        <w:t>,</w:t>
      </w:r>
      <w:r>
        <w:rPr>
          <w:rFonts w:ascii="Bookman Old Style" w:hAnsi="Bookman Old Style"/>
          <w:sz w:val="28"/>
          <w:szCs w:val="28"/>
        </w:rPr>
        <w:t xml:space="preserve"> de cara a la renuncia de gananciales y apoyado en la nombrada sentencia de casación, </w:t>
      </w:r>
      <w:r w:rsidR="001E0D6A">
        <w:rPr>
          <w:rFonts w:ascii="Bookman Old Style" w:hAnsi="Bookman Old Style"/>
          <w:sz w:val="28"/>
          <w:szCs w:val="28"/>
        </w:rPr>
        <w:t>recalca que no pidió nulidad alguna, sino la protección de sus derechos a través de la declaración de inoponibilidad, a más que el acto en sí mismo de la liquidación conyugal continúa vigente para sus autores</w:t>
      </w:r>
      <w:r w:rsidR="00B03C16">
        <w:rPr>
          <w:rFonts w:ascii="Bookman Old Style" w:hAnsi="Bookman Old Style"/>
          <w:sz w:val="28"/>
          <w:szCs w:val="28"/>
        </w:rPr>
        <w:t>.</w:t>
      </w:r>
      <w:r w:rsidR="00AD7BE4">
        <w:rPr>
          <w:rFonts w:ascii="Bookman Old Style" w:hAnsi="Bookman Old Style"/>
          <w:sz w:val="28"/>
          <w:szCs w:val="28"/>
        </w:rPr>
        <w:t xml:space="preserve"> </w:t>
      </w:r>
    </w:p>
    <w:p w14:paraId="346E69F5" w14:textId="77777777" w:rsidR="007060B8" w:rsidRDefault="007060B8" w:rsidP="000F73D2">
      <w:pPr>
        <w:autoSpaceDE w:val="0"/>
        <w:autoSpaceDN w:val="0"/>
        <w:spacing w:line="360" w:lineRule="auto"/>
        <w:ind w:firstLine="709"/>
        <w:jc w:val="both"/>
        <w:rPr>
          <w:rFonts w:ascii="Bookman Old Style" w:hAnsi="Bookman Old Style"/>
          <w:sz w:val="28"/>
          <w:szCs w:val="28"/>
        </w:rPr>
      </w:pPr>
    </w:p>
    <w:p w14:paraId="0AE3B8C5" w14:textId="77777777" w:rsidR="00234E7E" w:rsidRDefault="00AA4E1E" w:rsidP="000F73D2">
      <w:pPr>
        <w:autoSpaceDE w:val="0"/>
        <w:autoSpaceDN w:val="0"/>
        <w:spacing w:line="360" w:lineRule="auto"/>
        <w:ind w:firstLine="709"/>
        <w:jc w:val="both"/>
        <w:rPr>
          <w:rFonts w:ascii="Bookman Old Style" w:hAnsi="Bookman Old Style"/>
          <w:sz w:val="28"/>
          <w:szCs w:val="28"/>
        </w:rPr>
      </w:pPr>
      <w:r>
        <w:rPr>
          <w:rFonts w:ascii="Bookman Old Style" w:hAnsi="Bookman Old Style"/>
          <w:sz w:val="28"/>
          <w:szCs w:val="28"/>
        </w:rPr>
        <w:lastRenderedPageBreak/>
        <w:t xml:space="preserve">6. </w:t>
      </w:r>
      <w:r w:rsidR="008E7608">
        <w:rPr>
          <w:rFonts w:ascii="Bookman Old Style" w:hAnsi="Bookman Old Style"/>
          <w:sz w:val="28"/>
          <w:szCs w:val="28"/>
        </w:rPr>
        <w:t>Para l</w:t>
      </w:r>
      <w:r w:rsidR="00F32D3A">
        <w:rPr>
          <w:rFonts w:ascii="Bookman Old Style" w:hAnsi="Bookman Old Style"/>
          <w:sz w:val="28"/>
          <w:szCs w:val="28"/>
        </w:rPr>
        <w:t>a Corte</w:t>
      </w:r>
      <w:r w:rsidR="00452B2D">
        <w:rPr>
          <w:rFonts w:ascii="Bookman Old Style" w:hAnsi="Bookman Old Style"/>
          <w:sz w:val="28"/>
          <w:szCs w:val="28"/>
        </w:rPr>
        <w:t>,</w:t>
      </w:r>
      <w:r w:rsidR="00F32D3A">
        <w:rPr>
          <w:rFonts w:ascii="Bookman Old Style" w:hAnsi="Bookman Old Style"/>
          <w:sz w:val="28"/>
          <w:szCs w:val="28"/>
        </w:rPr>
        <w:t xml:space="preserve"> el </w:t>
      </w:r>
      <w:r w:rsidR="00F32D3A" w:rsidRPr="004F18FD">
        <w:rPr>
          <w:rFonts w:ascii="Bookman Old Style" w:hAnsi="Bookman Old Style"/>
          <w:i/>
          <w:iCs/>
          <w:sz w:val="28"/>
          <w:szCs w:val="28"/>
        </w:rPr>
        <w:t>quid</w:t>
      </w:r>
      <w:r w:rsidR="00F32D3A">
        <w:rPr>
          <w:rFonts w:ascii="Bookman Old Style" w:hAnsi="Bookman Old Style"/>
          <w:sz w:val="28"/>
          <w:szCs w:val="28"/>
        </w:rPr>
        <w:t xml:space="preserve"> del asunto en sede casacional se reduce a dos aspectos fundamentales: el primero consiste en </w:t>
      </w:r>
      <w:r w:rsidR="002720BA">
        <w:rPr>
          <w:rFonts w:ascii="Bookman Old Style" w:hAnsi="Bookman Old Style"/>
          <w:sz w:val="28"/>
          <w:szCs w:val="28"/>
        </w:rPr>
        <w:t>establecer</w:t>
      </w:r>
      <w:r w:rsidR="00F32D3A">
        <w:rPr>
          <w:rFonts w:ascii="Bookman Old Style" w:hAnsi="Bookman Old Style"/>
          <w:sz w:val="28"/>
          <w:szCs w:val="28"/>
        </w:rPr>
        <w:t xml:space="preserve"> si es equivocado el argumento del </w:t>
      </w:r>
      <w:r w:rsidR="00600259">
        <w:rPr>
          <w:rFonts w:ascii="Bookman Old Style" w:hAnsi="Bookman Old Style"/>
          <w:sz w:val="28"/>
          <w:szCs w:val="28"/>
        </w:rPr>
        <w:t>C</w:t>
      </w:r>
      <w:r w:rsidR="00F32D3A">
        <w:rPr>
          <w:rFonts w:ascii="Bookman Old Style" w:hAnsi="Bookman Old Style"/>
          <w:sz w:val="28"/>
          <w:szCs w:val="28"/>
        </w:rPr>
        <w:t xml:space="preserve">olegiado de segundo grado de no aceptar la condición de tercero que reclama el demandante para que pueda aplicarse el artículo 1775 del C.C. </w:t>
      </w:r>
      <w:r w:rsidR="00600259">
        <w:rPr>
          <w:rFonts w:ascii="Bookman Old Style" w:hAnsi="Bookman Old Style"/>
          <w:sz w:val="28"/>
          <w:szCs w:val="28"/>
        </w:rPr>
        <w:t>E</w:t>
      </w:r>
      <w:r w:rsidR="00F32D3A">
        <w:rPr>
          <w:rFonts w:ascii="Bookman Old Style" w:hAnsi="Bookman Old Style"/>
          <w:sz w:val="28"/>
          <w:szCs w:val="28"/>
        </w:rPr>
        <w:t>l segundo</w:t>
      </w:r>
      <w:r w:rsidR="00452B2D">
        <w:rPr>
          <w:rFonts w:ascii="Bookman Old Style" w:hAnsi="Bookman Old Style"/>
          <w:sz w:val="28"/>
          <w:szCs w:val="28"/>
        </w:rPr>
        <w:t>,</w:t>
      </w:r>
      <w:r w:rsidR="00F32D3A">
        <w:rPr>
          <w:rFonts w:ascii="Bookman Old Style" w:hAnsi="Bookman Old Style"/>
          <w:sz w:val="28"/>
          <w:szCs w:val="28"/>
        </w:rPr>
        <w:t xml:space="preserve"> si resulta </w:t>
      </w:r>
      <w:r w:rsidR="00966139">
        <w:rPr>
          <w:rFonts w:ascii="Bookman Old Style" w:hAnsi="Bookman Old Style"/>
          <w:sz w:val="28"/>
          <w:szCs w:val="28"/>
        </w:rPr>
        <w:t xml:space="preserve">inane e </w:t>
      </w:r>
      <w:r w:rsidR="00F32D3A">
        <w:rPr>
          <w:rFonts w:ascii="Bookman Old Style" w:hAnsi="Bookman Old Style"/>
          <w:sz w:val="28"/>
          <w:szCs w:val="28"/>
        </w:rPr>
        <w:t>inidónea</w:t>
      </w:r>
      <w:r w:rsidR="00C46E96">
        <w:rPr>
          <w:rFonts w:ascii="Bookman Old Style" w:hAnsi="Bookman Old Style"/>
          <w:sz w:val="28"/>
          <w:szCs w:val="28"/>
        </w:rPr>
        <w:t xml:space="preserve">, como lo afirma el </w:t>
      </w:r>
      <w:r w:rsidR="00600259">
        <w:rPr>
          <w:rFonts w:ascii="Bookman Old Style" w:hAnsi="Bookman Old Style"/>
          <w:sz w:val="28"/>
          <w:szCs w:val="28"/>
        </w:rPr>
        <w:t>T</w:t>
      </w:r>
      <w:r w:rsidR="00C46E96">
        <w:rPr>
          <w:rFonts w:ascii="Bookman Old Style" w:hAnsi="Bookman Old Style"/>
          <w:sz w:val="28"/>
          <w:szCs w:val="28"/>
        </w:rPr>
        <w:t>ribunal,</w:t>
      </w:r>
      <w:r w:rsidR="00F32D3A">
        <w:rPr>
          <w:rFonts w:ascii="Bookman Old Style" w:hAnsi="Bookman Old Style"/>
          <w:sz w:val="28"/>
          <w:szCs w:val="28"/>
        </w:rPr>
        <w:t xml:space="preserve"> la pretensión de inoponibilidad </w:t>
      </w:r>
      <w:r w:rsidR="00825BD6">
        <w:rPr>
          <w:rFonts w:ascii="Bookman Old Style" w:hAnsi="Bookman Old Style"/>
          <w:sz w:val="28"/>
          <w:szCs w:val="28"/>
        </w:rPr>
        <w:t>por cuanto su declaración no ser</w:t>
      </w:r>
      <w:r w:rsidR="00526B42">
        <w:rPr>
          <w:rFonts w:ascii="Bookman Old Style" w:hAnsi="Bookman Old Style"/>
          <w:sz w:val="28"/>
          <w:szCs w:val="28"/>
        </w:rPr>
        <w:t>ía</w:t>
      </w:r>
      <w:r w:rsidR="00825BD6">
        <w:rPr>
          <w:rFonts w:ascii="Bookman Old Style" w:hAnsi="Bookman Old Style"/>
          <w:sz w:val="28"/>
          <w:szCs w:val="28"/>
        </w:rPr>
        <w:t xml:space="preserve"> suficiente para enmendar o deshacer las consecuencias que surgieron del acto de renuncia a la totalidad de los gananciales, ya que</w:t>
      </w:r>
      <w:r w:rsidR="00E901FF">
        <w:rPr>
          <w:rFonts w:ascii="Bookman Old Style" w:hAnsi="Bookman Old Style"/>
          <w:sz w:val="28"/>
          <w:szCs w:val="28"/>
        </w:rPr>
        <w:t>, en su decir,</w:t>
      </w:r>
      <w:r w:rsidR="00825BD6">
        <w:rPr>
          <w:rFonts w:ascii="Bookman Old Style" w:hAnsi="Bookman Old Style"/>
          <w:sz w:val="28"/>
          <w:szCs w:val="28"/>
        </w:rPr>
        <w:t xml:space="preserve"> nada puede ordenarse en esa dirección</w:t>
      </w:r>
      <w:r w:rsidR="00C53256" w:rsidRPr="00C53256">
        <w:rPr>
          <w:rFonts w:ascii="Bookman Old Style" w:hAnsi="Bookman Old Style"/>
          <w:sz w:val="28"/>
          <w:szCs w:val="28"/>
        </w:rPr>
        <w:t>. Por lo demás,</w:t>
      </w:r>
      <w:r w:rsidR="00825BD6" w:rsidRPr="00C53256">
        <w:rPr>
          <w:rFonts w:ascii="Bookman Old Style" w:hAnsi="Bookman Old Style"/>
          <w:sz w:val="28"/>
          <w:szCs w:val="28"/>
        </w:rPr>
        <w:t xml:space="preserve"> no es factible volver las cosas a su estado anterior, propósito este último propio de una declaración de nulidad, </w:t>
      </w:r>
      <w:r w:rsidR="003D547B" w:rsidRPr="00C53256">
        <w:rPr>
          <w:rFonts w:ascii="Bookman Old Style" w:hAnsi="Bookman Old Style"/>
          <w:sz w:val="28"/>
          <w:szCs w:val="28"/>
        </w:rPr>
        <w:t xml:space="preserve">que no podía estudiar al </w:t>
      </w:r>
      <w:r w:rsidR="00825BD6" w:rsidRPr="00C53256">
        <w:rPr>
          <w:rFonts w:ascii="Bookman Old Style" w:hAnsi="Bookman Old Style"/>
          <w:sz w:val="28"/>
          <w:szCs w:val="28"/>
        </w:rPr>
        <w:t>no</w:t>
      </w:r>
      <w:r w:rsidR="003D547B" w:rsidRPr="00C53256">
        <w:rPr>
          <w:rFonts w:ascii="Bookman Old Style" w:hAnsi="Bookman Old Style"/>
          <w:sz w:val="28"/>
          <w:szCs w:val="28"/>
        </w:rPr>
        <w:t xml:space="preserve"> ser</w:t>
      </w:r>
      <w:r w:rsidR="00825BD6" w:rsidRPr="00C53256">
        <w:rPr>
          <w:rFonts w:ascii="Bookman Old Style" w:hAnsi="Bookman Old Style"/>
          <w:sz w:val="28"/>
          <w:szCs w:val="28"/>
        </w:rPr>
        <w:t xml:space="preserve"> pedida.</w:t>
      </w:r>
    </w:p>
    <w:p w14:paraId="5D340C18" w14:textId="77777777" w:rsidR="0071034D" w:rsidRDefault="0071034D" w:rsidP="000F73D2">
      <w:pPr>
        <w:autoSpaceDE w:val="0"/>
        <w:autoSpaceDN w:val="0"/>
        <w:spacing w:line="360" w:lineRule="auto"/>
        <w:ind w:firstLine="709"/>
        <w:jc w:val="both"/>
        <w:rPr>
          <w:rFonts w:ascii="Bookman Old Style" w:hAnsi="Bookman Old Style"/>
          <w:sz w:val="28"/>
          <w:szCs w:val="28"/>
        </w:rPr>
      </w:pPr>
    </w:p>
    <w:p w14:paraId="30C0ED34" w14:textId="77777777" w:rsidR="00E64C49" w:rsidRPr="00C53256" w:rsidRDefault="0071034D" w:rsidP="0071034D">
      <w:pPr>
        <w:autoSpaceDE w:val="0"/>
        <w:autoSpaceDN w:val="0"/>
        <w:spacing w:line="360" w:lineRule="auto"/>
        <w:ind w:firstLine="709"/>
        <w:jc w:val="both"/>
        <w:rPr>
          <w:rFonts w:ascii="Bookman Old Style" w:hAnsi="Bookman Old Style" w:cs="Arial"/>
          <w:b/>
          <w:i/>
          <w:sz w:val="28"/>
          <w:szCs w:val="28"/>
        </w:rPr>
      </w:pPr>
      <w:r w:rsidRPr="00C53256">
        <w:rPr>
          <w:rFonts w:ascii="Bookman Old Style" w:hAnsi="Bookman Old Style"/>
          <w:sz w:val="28"/>
          <w:szCs w:val="28"/>
        </w:rPr>
        <w:t xml:space="preserve">En </w:t>
      </w:r>
      <w:r w:rsidR="00202B4F" w:rsidRPr="00C53256">
        <w:rPr>
          <w:rFonts w:ascii="Bookman Old Style" w:hAnsi="Bookman Old Style"/>
          <w:sz w:val="28"/>
          <w:szCs w:val="28"/>
        </w:rPr>
        <w:t>consecuencia</w:t>
      </w:r>
      <w:r w:rsidRPr="00C53256">
        <w:rPr>
          <w:rFonts w:ascii="Bookman Old Style" w:hAnsi="Bookman Old Style"/>
          <w:sz w:val="28"/>
          <w:szCs w:val="28"/>
        </w:rPr>
        <w:t xml:space="preserve">, corresponde evaluar si </w:t>
      </w:r>
      <w:r w:rsidR="005C0343" w:rsidRPr="00C53256">
        <w:rPr>
          <w:rFonts w:ascii="Bookman Old Style" w:hAnsi="Bookman Old Style" w:cs="Arial"/>
          <w:sz w:val="28"/>
          <w:szCs w:val="28"/>
        </w:rPr>
        <w:t xml:space="preserve">el </w:t>
      </w:r>
      <w:r w:rsidRPr="00C53256">
        <w:rPr>
          <w:rFonts w:ascii="Bookman Old Style" w:hAnsi="Bookman Old Style" w:cs="Arial"/>
          <w:i/>
          <w:sz w:val="28"/>
          <w:szCs w:val="28"/>
        </w:rPr>
        <w:t>ad quem</w:t>
      </w:r>
      <w:r w:rsidR="005C0343" w:rsidRPr="00C53256">
        <w:rPr>
          <w:rFonts w:ascii="Bookman Old Style" w:hAnsi="Bookman Old Style" w:cs="Arial"/>
          <w:sz w:val="28"/>
          <w:szCs w:val="28"/>
        </w:rPr>
        <w:t xml:space="preserve"> </w:t>
      </w:r>
      <w:r w:rsidRPr="00C53256">
        <w:rPr>
          <w:rFonts w:ascii="Bookman Old Style" w:hAnsi="Bookman Old Style" w:cs="Arial"/>
          <w:sz w:val="28"/>
          <w:szCs w:val="28"/>
        </w:rPr>
        <w:t xml:space="preserve">se </w:t>
      </w:r>
      <w:r w:rsidR="005C0343" w:rsidRPr="00C53256">
        <w:rPr>
          <w:rFonts w:ascii="Bookman Old Style" w:hAnsi="Bookman Old Style" w:cs="Arial"/>
          <w:sz w:val="28"/>
          <w:szCs w:val="28"/>
        </w:rPr>
        <w:t xml:space="preserve">equivocó </w:t>
      </w:r>
      <w:r w:rsidR="00D974FE" w:rsidRPr="00C53256">
        <w:rPr>
          <w:rFonts w:ascii="Bookman Old Style" w:hAnsi="Bookman Old Style" w:cs="Arial"/>
          <w:sz w:val="28"/>
          <w:szCs w:val="28"/>
        </w:rPr>
        <w:t xml:space="preserve">cuando examinó </w:t>
      </w:r>
      <w:r w:rsidR="005C0343" w:rsidRPr="00C53256">
        <w:rPr>
          <w:rFonts w:ascii="Bookman Old Style" w:hAnsi="Bookman Old Style" w:cs="Arial"/>
          <w:sz w:val="28"/>
          <w:szCs w:val="28"/>
        </w:rPr>
        <w:t xml:space="preserve">el instituto jurídico aplicable que corresponde al marco </w:t>
      </w:r>
      <w:r w:rsidR="00D974FE" w:rsidRPr="00C53256">
        <w:rPr>
          <w:rFonts w:ascii="Bookman Old Style" w:hAnsi="Bookman Old Style" w:cs="Arial"/>
          <w:sz w:val="28"/>
          <w:szCs w:val="28"/>
        </w:rPr>
        <w:t xml:space="preserve">contextual </w:t>
      </w:r>
      <w:r w:rsidR="005C0343" w:rsidRPr="00C53256">
        <w:rPr>
          <w:rFonts w:ascii="Bookman Old Style" w:hAnsi="Bookman Old Style" w:cs="Arial"/>
          <w:sz w:val="28"/>
          <w:szCs w:val="28"/>
        </w:rPr>
        <w:t>que sustentó la controversia</w:t>
      </w:r>
      <w:r w:rsidR="00FD2FEA" w:rsidRPr="00C53256">
        <w:rPr>
          <w:rFonts w:ascii="Bookman Old Style" w:hAnsi="Bookman Old Style" w:cs="Arial"/>
          <w:sz w:val="28"/>
          <w:szCs w:val="28"/>
        </w:rPr>
        <w:t xml:space="preserve">. </w:t>
      </w:r>
      <w:r w:rsidR="00E64C49" w:rsidRPr="00C53256">
        <w:rPr>
          <w:rFonts w:ascii="Bookman Old Style" w:hAnsi="Bookman Old Style" w:cs="Arial"/>
          <w:sz w:val="28"/>
          <w:szCs w:val="28"/>
        </w:rPr>
        <w:t>Lo anterior en el entendi</w:t>
      </w:r>
      <w:r w:rsidR="000C5BED" w:rsidRPr="00C53256">
        <w:rPr>
          <w:rFonts w:ascii="Bookman Old Style" w:hAnsi="Bookman Old Style" w:cs="Arial"/>
          <w:sz w:val="28"/>
          <w:szCs w:val="28"/>
        </w:rPr>
        <w:t>do</w:t>
      </w:r>
      <w:r w:rsidR="00E64C49" w:rsidRPr="00C53256">
        <w:rPr>
          <w:rFonts w:ascii="Bookman Old Style" w:hAnsi="Bookman Old Style" w:cs="Arial"/>
          <w:sz w:val="28"/>
          <w:szCs w:val="28"/>
        </w:rPr>
        <w:t xml:space="preserve"> que para el sentenciador de segund</w:t>
      </w:r>
      <w:r w:rsidR="000C5BED" w:rsidRPr="00C53256">
        <w:rPr>
          <w:rFonts w:ascii="Bookman Old Style" w:hAnsi="Bookman Old Style" w:cs="Arial"/>
          <w:sz w:val="28"/>
          <w:szCs w:val="28"/>
        </w:rPr>
        <w:t>o</w:t>
      </w:r>
      <w:r w:rsidR="00E64C49" w:rsidRPr="00C53256">
        <w:rPr>
          <w:rFonts w:ascii="Bookman Old Style" w:hAnsi="Bookman Old Style" w:cs="Arial"/>
          <w:sz w:val="28"/>
          <w:szCs w:val="28"/>
        </w:rPr>
        <w:t xml:space="preserve"> </w:t>
      </w:r>
      <w:r w:rsidR="000C5BED" w:rsidRPr="00C53256">
        <w:rPr>
          <w:rFonts w:ascii="Bookman Old Style" w:hAnsi="Bookman Old Style" w:cs="Arial"/>
          <w:sz w:val="28"/>
          <w:szCs w:val="28"/>
        </w:rPr>
        <w:t>nivel</w:t>
      </w:r>
      <w:r w:rsidR="00E64C49" w:rsidRPr="00C53256">
        <w:rPr>
          <w:rFonts w:ascii="Bookman Old Style" w:hAnsi="Bookman Old Style" w:cs="Arial"/>
          <w:sz w:val="28"/>
          <w:szCs w:val="28"/>
        </w:rPr>
        <w:t xml:space="preserve"> se hallan reunidos los presupuestos procesales para dictar sentencia de mérito, aunado a que «</w:t>
      </w:r>
      <w:r w:rsidR="00E64C49" w:rsidRPr="00C53256">
        <w:rPr>
          <w:rFonts w:ascii="Bookman Old Style" w:hAnsi="Bookman Old Style" w:cs="Arial"/>
          <w:i/>
          <w:sz w:val="28"/>
          <w:szCs w:val="28"/>
        </w:rPr>
        <w:t>la demanda no ofrece obstáculo formal de tal entidad que impida un fallo de fondo»</w:t>
      </w:r>
      <w:r w:rsidR="00C53256" w:rsidRPr="00C53256">
        <w:rPr>
          <w:rFonts w:ascii="Bookman Old Style" w:hAnsi="Bookman Old Style" w:cs="Arial"/>
          <w:i/>
          <w:sz w:val="28"/>
          <w:szCs w:val="28"/>
        </w:rPr>
        <w:t xml:space="preserve">. </w:t>
      </w:r>
      <w:r w:rsidR="00C53256" w:rsidRPr="00C53256">
        <w:rPr>
          <w:rFonts w:ascii="Bookman Old Style" w:hAnsi="Bookman Old Style" w:cs="Arial"/>
          <w:iCs/>
          <w:sz w:val="28"/>
          <w:szCs w:val="28"/>
        </w:rPr>
        <w:t>De igual manera, en</w:t>
      </w:r>
      <w:r w:rsidR="00E64C49" w:rsidRPr="00C53256">
        <w:rPr>
          <w:rFonts w:ascii="Bookman Old Style" w:hAnsi="Bookman Old Style" w:cs="Arial"/>
          <w:sz w:val="28"/>
          <w:szCs w:val="28"/>
        </w:rPr>
        <w:t xml:space="preserve"> el evento que se juzga «</w:t>
      </w:r>
      <w:r w:rsidR="00E64C49" w:rsidRPr="00C53256">
        <w:rPr>
          <w:rFonts w:ascii="Bookman Old Style" w:hAnsi="Bookman Old Style" w:cs="Arial"/>
          <w:i/>
          <w:sz w:val="28"/>
          <w:szCs w:val="28"/>
        </w:rPr>
        <w:t>el demandante invoca a su favor la primera de las causales de inoponibilidad: ser el [actor] un tercero a quien no pueden serle vinculantes</w:t>
      </w:r>
      <w:r w:rsidR="009537AF" w:rsidRPr="00C53256">
        <w:rPr>
          <w:rFonts w:ascii="Bookman Old Style" w:hAnsi="Bookman Old Style" w:cs="Arial"/>
          <w:i/>
          <w:sz w:val="28"/>
          <w:szCs w:val="28"/>
        </w:rPr>
        <w:t xml:space="preserve"> las estipulaciones del negocio».</w:t>
      </w:r>
      <w:r w:rsidR="00ED2AED" w:rsidRPr="00C53256">
        <w:rPr>
          <w:rFonts w:ascii="Bookman Old Style" w:hAnsi="Bookman Old Style" w:cs="Arial"/>
          <w:i/>
          <w:sz w:val="28"/>
          <w:szCs w:val="28"/>
        </w:rPr>
        <w:t xml:space="preserve">  </w:t>
      </w:r>
    </w:p>
    <w:p w14:paraId="7458C0B9" w14:textId="77777777" w:rsidR="00FD2FEA" w:rsidRDefault="00FD2FEA" w:rsidP="000F73D2">
      <w:pPr>
        <w:autoSpaceDE w:val="0"/>
        <w:autoSpaceDN w:val="0"/>
        <w:spacing w:line="360" w:lineRule="auto"/>
        <w:ind w:firstLine="709"/>
        <w:jc w:val="both"/>
        <w:rPr>
          <w:rFonts w:ascii="Bookman Old Style" w:hAnsi="Bookman Old Style"/>
          <w:sz w:val="28"/>
          <w:szCs w:val="28"/>
        </w:rPr>
      </w:pPr>
    </w:p>
    <w:p w14:paraId="0BE67B70" w14:textId="77777777" w:rsidR="00A20D6B" w:rsidRDefault="00234E7E" w:rsidP="000F73D2">
      <w:pPr>
        <w:autoSpaceDE w:val="0"/>
        <w:autoSpaceDN w:val="0"/>
        <w:spacing w:line="360" w:lineRule="auto"/>
        <w:ind w:firstLine="709"/>
        <w:jc w:val="both"/>
        <w:rPr>
          <w:rFonts w:ascii="Bookman Old Style" w:hAnsi="Bookman Old Style"/>
          <w:i/>
          <w:sz w:val="24"/>
          <w:szCs w:val="24"/>
        </w:rPr>
      </w:pPr>
      <w:r w:rsidRPr="00C65948">
        <w:rPr>
          <w:rFonts w:ascii="Bookman Old Style" w:hAnsi="Bookman Old Style"/>
          <w:sz w:val="28"/>
          <w:szCs w:val="28"/>
        </w:rPr>
        <w:lastRenderedPageBreak/>
        <w:t>7.</w:t>
      </w:r>
      <w:r>
        <w:rPr>
          <w:rFonts w:ascii="Bookman Old Style" w:hAnsi="Bookman Old Style"/>
          <w:sz w:val="28"/>
          <w:szCs w:val="28"/>
        </w:rPr>
        <w:t xml:space="preserve"> </w:t>
      </w:r>
      <w:r w:rsidR="00457DBF">
        <w:rPr>
          <w:rFonts w:ascii="Bookman Old Style" w:hAnsi="Bookman Old Style"/>
          <w:sz w:val="28"/>
          <w:szCs w:val="28"/>
        </w:rPr>
        <w:t>En lo que atañe a la disolución de la sociedad conyugal que surge por el hecho del matrimonio, esta, conforme al artículo 1820 del Código Civil, modificado por el artículo 25 de la Ley 1ª de 1976, puede disolverse, entre otras causas, numeral 5º, por «</w:t>
      </w:r>
      <w:r w:rsidR="00457DBF" w:rsidRPr="00457DBF">
        <w:rPr>
          <w:rFonts w:ascii="Bookman Old Style" w:hAnsi="Bookman Old Style"/>
          <w:i/>
          <w:sz w:val="24"/>
          <w:szCs w:val="24"/>
        </w:rPr>
        <w:t>mutuo acuerdo de los cónyuges capaces, elevado a escritura pública, en cuyo cuerpo se</w:t>
      </w:r>
      <w:r w:rsidR="00457DBF">
        <w:rPr>
          <w:rFonts w:ascii="Bookman Old Style" w:hAnsi="Bookman Old Style"/>
          <w:i/>
          <w:sz w:val="24"/>
          <w:szCs w:val="24"/>
        </w:rPr>
        <w:t xml:space="preserve"> incorporará el inventario de bienes y deudas sociales y su liquidación».</w:t>
      </w:r>
      <w:r w:rsidR="00177CDF">
        <w:rPr>
          <w:rFonts w:ascii="Bookman Old Style" w:hAnsi="Bookman Old Style"/>
          <w:i/>
          <w:sz w:val="24"/>
          <w:szCs w:val="24"/>
        </w:rPr>
        <w:t xml:space="preserve"> </w:t>
      </w:r>
    </w:p>
    <w:p w14:paraId="241A1F7A" w14:textId="77777777" w:rsidR="00A20D6B" w:rsidRDefault="00A20D6B" w:rsidP="000F73D2">
      <w:pPr>
        <w:autoSpaceDE w:val="0"/>
        <w:autoSpaceDN w:val="0"/>
        <w:spacing w:line="360" w:lineRule="auto"/>
        <w:ind w:firstLine="709"/>
        <w:jc w:val="both"/>
        <w:rPr>
          <w:rFonts w:ascii="Bookman Old Style" w:hAnsi="Bookman Old Style"/>
          <w:i/>
          <w:sz w:val="24"/>
          <w:szCs w:val="24"/>
        </w:rPr>
      </w:pPr>
    </w:p>
    <w:p w14:paraId="1936501B" w14:textId="77777777" w:rsidR="00CC49F2" w:rsidRDefault="00A20D6B" w:rsidP="000F73D2">
      <w:pPr>
        <w:autoSpaceDE w:val="0"/>
        <w:autoSpaceDN w:val="0"/>
        <w:spacing w:line="360" w:lineRule="auto"/>
        <w:ind w:firstLine="709"/>
        <w:jc w:val="both"/>
        <w:rPr>
          <w:rFonts w:ascii="Bookman Old Style" w:hAnsi="Bookman Old Style"/>
          <w:sz w:val="28"/>
          <w:szCs w:val="28"/>
        </w:rPr>
      </w:pPr>
      <w:r>
        <w:rPr>
          <w:rFonts w:ascii="Bookman Old Style" w:hAnsi="Bookman Old Style"/>
          <w:sz w:val="28"/>
          <w:szCs w:val="28"/>
        </w:rPr>
        <w:t>Se comprenden en la disposición citada dos actos jurídicos diferentes</w:t>
      </w:r>
      <w:r w:rsidR="00600259">
        <w:rPr>
          <w:rFonts w:ascii="Bookman Old Style" w:hAnsi="Bookman Old Style"/>
          <w:sz w:val="28"/>
          <w:szCs w:val="28"/>
        </w:rPr>
        <w:t>.</w:t>
      </w:r>
      <w:r>
        <w:rPr>
          <w:rFonts w:ascii="Bookman Old Style" w:hAnsi="Bookman Old Style"/>
          <w:sz w:val="28"/>
          <w:szCs w:val="28"/>
        </w:rPr>
        <w:t xml:space="preserve"> </w:t>
      </w:r>
      <w:r w:rsidR="00600259">
        <w:rPr>
          <w:rFonts w:ascii="Bookman Old Style" w:hAnsi="Bookman Old Style"/>
          <w:sz w:val="28"/>
          <w:szCs w:val="28"/>
        </w:rPr>
        <w:t>D</w:t>
      </w:r>
      <w:r>
        <w:rPr>
          <w:rFonts w:ascii="Bookman Old Style" w:hAnsi="Bookman Old Style"/>
          <w:sz w:val="28"/>
          <w:szCs w:val="28"/>
        </w:rPr>
        <w:t>e un lado, la disolución de la sociedad de bienes entre los cónyuges</w:t>
      </w:r>
      <w:r w:rsidR="00600259">
        <w:rPr>
          <w:rFonts w:ascii="Bookman Old Style" w:hAnsi="Bookman Old Style"/>
          <w:sz w:val="28"/>
          <w:szCs w:val="28"/>
        </w:rPr>
        <w:t>.</w:t>
      </w:r>
      <w:r>
        <w:rPr>
          <w:rFonts w:ascii="Bookman Old Style" w:hAnsi="Bookman Old Style"/>
          <w:sz w:val="28"/>
          <w:szCs w:val="28"/>
        </w:rPr>
        <w:t xml:space="preserve"> </w:t>
      </w:r>
      <w:r w:rsidR="00600259">
        <w:rPr>
          <w:rFonts w:ascii="Bookman Old Style" w:hAnsi="Bookman Old Style"/>
          <w:sz w:val="28"/>
          <w:szCs w:val="28"/>
        </w:rPr>
        <w:t>Y</w:t>
      </w:r>
      <w:r>
        <w:rPr>
          <w:rFonts w:ascii="Bookman Old Style" w:hAnsi="Bookman Old Style"/>
          <w:sz w:val="28"/>
          <w:szCs w:val="28"/>
        </w:rPr>
        <w:t xml:space="preserve"> de otro, </w:t>
      </w:r>
      <w:r w:rsidRPr="00A20D6B">
        <w:rPr>
          <w:rFonts w:ascii="Bookman Old Style" w:hAnsi="Bookman Old Style"/>
          <w:sz w:val="28"/>
          <w:szCs w:val="28"/>
        </w:rPr>
        <w:t xml:space="preserve">la liquidación de </w:t>
      </w:r>
      <w:r w:rsidR="001676D1" w:rsidRPr="00A20D6B">
        <w:rPr>
          <w:rFonts w:ascii="Bookman Old Style" w:hAnsi="Bookman Old Style"/>
          <w:sz w:val="28"/>
          <w:szCs w:val="28"/>
        </w:rPr>
        <w:t>esta</w:t>
      </w:r>
      <w:r w:rsidR="00452B2D">
        <w:rPr>
          <w:rFonts w:ascii="Bookman Old Style" w:hAnsi="Bookman Old Style"/>
          <w:sz w:val="28"/>
          <w:szCs w:val="28"/>
        </w:rPr>
        <w:t>,</w:t>
      </w:r>
      <w:r w:rsidRPr="00A20D6B">
        <w:rPr>
          <w:rFonts w:ascii="Bookman Old Style" w:hAnsi="Bookman Old Style"/>
          <w:sz w:val="28"/>
          <w:szCs w:val="28"/>
        </w:rPr>
        <w:t xml:space="preserve"> que concluye con la partición de mutuo acuerdo, según la relación de bienes y deudas sociales correspondientes.  </w:t>
      </w:r>
    </w:p>
    <w:p w14:paraId="53ABEBE8" w14:textId="77777777" w:rsidR="00CC49F2" w:rsidRDefault="00CC49F2" w:rsidP="000F73D2">
      <w:pPr>
        <w:autoSpaceDE w:val="0"/>
        <w:autoSpaceDN w:val="0"/>
        <w:spacing w:line="360" w:lineRule="auto"/>
        <w:ind w:firstLine="709"/>
        <w:jc w:val="both"/>
        <w:rPr>
          <w:rFonts w:ascii="Bookman Old Style" w:hAnsi="Bookman Old Style"/>
          <w:sz w:val="28"/>
          <w:szCs w:val="28"/>
        </w:rPr>
      </w:pPr>
    </w:p>
    <w:p w14:paraId="058603CB" w14:textId="77777777" w:rsidR="00CC49F2" w:rsidRPr="00981FA7" w:rsidRDefault="00146695" w:rsidP="00CC49F2">
      <w:pPr>
        <w:spacing w:line="360" w:lineRule="auto"/>
        <w:ind w:firstLine="709"/>
        <w:jc w:val="both"/>
        <w:rPr>
          <w:rFonts w:ascii="Bookman Old Style" w:hAnsi="Bookman Old Style"/>
          <w:sz w:val="28"/>
          <w:szCs w:val="28"/>
        </w:rPr>
      </w:pPr>
      <w:r>
        <w:rPr>
          <w:rFonts w:ascii="Bookman Old Style" w:hAnsi="Bookman Old Style"/>
          <w:sz w:val="28"/>
          <w:szCs w:val="28"/>
        </w:rPr>
        <w:t>D</w:t>
      </w:r>
      <w:r w:rsidR="00CC49F2" w:rsidRPr="00CC49F2">
        <w:rPr>
          <w:rFonts w:ascii="Bookman Old Style" w:hAnsi="Bookman Old Style"/>
          <w:sz w:val="28"/>
          <w:szCs w:val="28"/>
        </w:rPr>
        <w:t xml:space="preserve">isuelta la sociedad conyugal por cualquiera de los modos </w:t>
      </w:r>
      <w:r w:rsidR="00452B2D">
        <w:rPr>
          <w:rFonts w:ascii="Bookman Old Style" w:hAnsi="Bookman Old Style"/>
          <w:sz w:val="28"/>
          <w:szCs w:val="28"/>
        </w:rPr>
        <w:t>establecidos en la ley</w:t>
      </w:r>
      <w:r w:rsidR="00CC49F2" w:rsidRPr="00CC49F2">
        <w:rPr>
          <w:rFonts w:ascii="Bookman Old Style" w:hAnsi="Bookman Old Style"/>
          <w:sz w:val="28"/>
          <w:szCs w:val="28"/>
        </w:rPr>
        <w:t xml:space="preserve">, </w:t>
      </w:r>
      <w:r>
        <w:rPr>
          <w:rFonts w:ascii="Bookman Old Style" w:hAnsi="Bookman Old Style"/>
          <w:sz w:val="28"/>
          <w:szCs w:val="28"/>
        </w:rPr>
        <w:t>esta</w:t>
      </w:r>
      <w:r w:rsidR="00CC49F2" w:rsidRPr="00CC49F2">
        <w:rPr>
          <w:rFonts w:ascii="Bookman Old Style" w:hAnsi="Bookman Old Style"/>
          <w:sz w:val="28"/>
          <w:szCs w:val="28"/>
        </w:rPr>
        <w:t xml:space="preserve"> se extingue para permitirle a los cónyuges establecer hacia el futuro el régimen de separación de bienes</w:t>
      </w:r>
      <w:r w:rsidR="00600259">
        <w:rPr>
          <w:rFonts w:ascii="Bookman Old Style" w:hAnsi="Bookman Old Style"/>
          <w:sz w:val="28"/>
          <w:szCs w:val="28"/>
        </w:rPr>
        <w:t>.</w:t>
      </w:r>
      <w:r w:rsidR="00CC49F2" w:rsidRPr="00CC49F2">
        <w:rPr>
          <w:rFonts w:ascii="Bookman Old Style" w:hAnsi="Bookman Old Style"/>
          <w:sz w:val="28"/>
          <w:szCs w:val="28"/>
        </w:rPr>
        <w:t xml:space="preserve"> </w:t>
      </w:r>
      <w:r w:rsidR="00600259" w:rsidRPr="00C53256">
        <w:rPr>
          <w:rFonts w:ascii="Bookman Old Style" w:hAnsi="Bookman Old Style"/>
          <w:sz w:val="28"/>
          <w:szCs w:val="28"/>
        </w:rPr>
        <w:t>A</w:t>
      </w:r>
      <w:r w:rsidR="00CC49F2" w:rsidRPr="00C53256">
        <w:rPr>
          <w:rFonts w:ascii="Bookman Old Style" w:hAnsi="Bookman Old Style"/>
          <w:sz w:val="28"/>
          <w:szCs w:val="28"/>
        </w:rPr>
        <w:t>l mismo tiempo surge la eventual masa universal de gananciales</w:t>
      </w:r>
      <w:r w:rsidR="00C53256" w:rsidRPr="00C53256">
        <w:rPr>
          <w:rFonts w:ascii="Bookman Old Style" w:hAnsi="Bookman Old Style"/>
          <w:sz w:val="28"/>
          <w:szCs w:val="28"/>
        </w:rPr>
        <w:t>,</w:t>
      </w:r>
      <w:r w:rsidR="00CC49F2" w:rsidRPr="00C53256">
        <w:rPr>
          <w:rFonts w:ascii="Bookman Old Style" w:hAnsi="Bookman Old Style"/>
          <w:sz w:val="28"/>
          <w:szCs w:val="28"/>
        </w:rPr>
        <w:t xml:space="preserve"> conformada por los bienes, deudas sociales y los elementos que la integran</w:t>
      </w:r>
      <w:r w:rsidR="00C53256" w:rsidRPr="00C53256">
        <w:rPr>
          <w:rFonts w:ascii="Bookman Old Style" w:hAnsi="Bookman Old Style"/>
          <w:sz w:val="28"/>
          <w:szCs w:val="28"/>
        </w:rPr>
        <w:t>. De igual manera,</w:t>
      </w:r>
      <w:r w:rsidR="00CC49F2" w:rsidRPr="00C53256">
        <w:rPr>
          <w:rFonts w:ascii="Bookman Old Style" w:hAnsi="Bookman Old Style"/>
          <w:sz w:val="28"/>
          <w:szCs w:val="28"/>
        </w:rPr>
        <w:t xml:space="preserve"> queda sometida a la liquidación, una o varias, como instrumento legalmente apto para definir los derechos que sobre ella tiene cada </w:t>
      </w:r>
      <w:r w:rsidR="00981FA7" w:rsidRPr="00C53256">
        <w:rPr>
          <w:rFonts w:ascii="Bookman Old Style" w:hAnsi="Bookman Old Style"/>
          <w:sz w:val="28"/>
          <w:szCs w:val="28"/>
        </w:rPr>
        <w:t xml:space="preserve">ex </w:t>
      </w:r>
      <w:r w:rsidR="00DA4E06" w:rsidRPr="00C53256">
        <w:rPr>
          <w:rFonts w:ascii="Bookman Old Style" w:hAnsi="Bookman Old Style"/>
          <w:sz w:val="28"/>
          <w:szCs w:val="28"/>
        </w:rPr>
        <w:t>cónyuge</w:t>
      </w:r>
      <w:r w:rsidR="00CC49F2" w:rsidRPr="00C53256">
        <w:rPr>
          <w:rFonts w:ascii="Bookman Old Style" w:hAnsi="Bookman Old Style"/>
          <w:sz w:val="28"/>
          <w:szCs w:val="28"/>
        </w:rPr>
        <w:t>.</w:t>
      </w:r>
    </w:p>
    <w:p w14:paraId="014C346D" w14:textId="77777777" w:rsidR="00963352" w:rsidRPr="00981FA7" w:rsidRDefault="00963352" w:rsidP="00CC49F2">
      <w:pPr>
        <w:spacing w:line="360" w:lineRule="auto"/>
        <w:ind w:firstLine="709"/>
        <w:jc w:val="both"/>
        <w:rPr>
          <w:rFonts w:ascii="Bookman Old Style" w:hAnsi="Bookman Old Style"/>
          <w:sz w:val="28"/>
          <w:szCs w:val="28"/>
          <w:highlight w:val="yellow"/>
        </w:rPr>
      </w:pPr>
    </w:p>
    <w:p w14:paraId="6383FD7B" w14:textId="77777777" w:rsidR="00782DCB" w:rsidRDefault="00BB4714" w:rsidP="00DB0606">
      <w:pPr>
        <w:pStyle w:val="Subttulo"/>
        <w:ind w:firstLine="709"/>
        <w:jc w:val="both"/>
        <w:rPr>
          <w:rFonts w:ascii="Bookman Old Style" w:hAnsi="Bookman Old Style"/>
          <w:b w:val="0"/>
          <w:spacing w:val="-3"/>
          <w:sz w:val="28"/>
          <w:szCs w:val="28"/>
        </w:rPr>
      </w:pPr>
      <w:r w:rsidRPr="00981FA7">
        <w:rPr>
          <w:rFonts w:ascii="Bookman Old Style" w:hAnsi="Bookman Old Style"/>
          <w:b w:val="0"/>
          <w:spacing w:val="-3"/>
          <w:sz w:val="28"/>
          <w:szCs w:val="28"/>
        </w:rPr>
        <w:t xml:space="preserve">8. </w:t>
      </w:r>
      <w:r w:rsidR="00BD513E" w:rsidRPr="00981FA7">
        <w:rPr>
          <w:rFonts w:ascii="Bookman Old Style" w:hAnsi="Bookman Old Style"/>
          <w:b w:val="0"/>
          <w:spacing w:val="-3"/>
          <w:sz w:val="28"/>
          <w:szCs w:val="28"/>
        </w:rPr>
        <w:t>El acto dispositivo</w:t>
      </w:r>
      <w:r w:rsidR="008A672B" w:rsidRPr="00981FA7">
        <w:rPr>
          <w:rFonts w:ascii="Bookman Old Style" w:hAnsi="Bookman Old Style"/>
          <w:b w:val="0"/>
          <w:spacing w:val="-3"/>
          <w:sz w:val="28"/>
          <w:szCs w:val="28"/>
        </w:rPr>
        <w:t xml:space="preserve"> de </w:t>
      </w:r>
      <w:r w:rsidR="000A304D" w:rsidRPr="00981FA7">
        <w:rPr>
          <w:rFonts w:ascii="Bookman Old Style" w:hAnsi="Bookman Old Style"/>
          <w:b w:val="0"/>
          <w:spacing w:val="-3"/>
          <w:sz w:val="28"/>
          <w:szCs w:val="28"/>
        </w:rPr>
        <w:t>renuncia</w:t>
      </w:r>
      <w:r w:rsidR="008A672B" w:rsidRPr="00981FA7">
        <w:rPr>
          <w:rFonts w:ascii="Bookman Old Style" w:hAnsi="Bookman Old Style"/>
          <w:b w:val="0"/>
          <w:spacing w:val="-3"/>
          <w:sz w:val="28"/>
          <w:szCs w:val="28"/>
        </w:rPr>
        <w:t xml:space="preserve"> tiene por objeto</w:t>
      </w:r>
      <w:r w:rsidR="00D54BC9" w:rsidRPr="00981FA7">
        <w:rPr>
          <w:rFonts w:ascii="Bookman Old Style" w:hAnsi="Bookman Old Style"/>
          <w:b w:val="0"/>
          <w:spacing w:val="-3"/>
          <w:sz w:val="28"/>
          <w:szCs w:val="28"/>
        </w:rPr>
        <w:t xml:space="preserve"> el derecho a</w:t>
      </w:r>
      <w:r w:rsidR="008E79D1" w:rsidRPr="00981FA7">
        <w:rPr>
          <w:rFonts w:ascii="Bookman Old Style" w:hAnsi="Bookman Old Style"/>
          <w:b w:val="0"/>
          <w:spacing w:val="-3"/>
          <w:sz w:val="28"/>
          <w:szCs w:val="28"/>
        </w:rPr>
        <w:t xml:space="preserve"> los</w:t>
      </w:r>
      <w:r w:rsidR="00D54BC9" w:rsidRPr="00981FA7">
        <w:rPr>
          <w:rFonts w:ascii="Bookman Old Style" w:hAnsi="Bookman Old Style"/>
          <w:b w:val="0"/>
          <w:spacing w:val="-3"/>
          <w:sz w:val="28"/>
          <w:szCs w:val="28"/>
        </w:rPr>
        <w:t xml:space="preserve"> gananciales</w:t>
      </w:r>
      <w:r w:rsidR="006D7544" w:rsidRPr="00981FA7">
        <w:rPr>
          <w:rFonts w:ascii="Bookman Old Style" w:hAnsi="Bookman Old Style"/>
          <w:b w:val="0"/>
          <w:spacing w:val="-3"/>
          <w:sz w:val="28"/>
          <w:szCs w:val="28"/>
        </w:rPr>
        <w:t xml:space="preserve"> que</w:t>
      </w:r>
      <w:r w:rsidR="004A562C" w:rsidRPr="00981FA7">
        <w:rPr>
          <w:rFonts w:ascii="Bookman Old Style" w:hAnsi="Bookman Old Style"/>
          <w:b w:val="0"/>
          <w:spacing w:val="-3"/>
          <w:sz w:val="28"/>
          <w:szCs w:val="28"/>
        </w:rPr>
        <w:t>,</w:t>
      </w:r>
      <w:r w:rsidR="00DB0606" w:rsidRPr="00981FA7">
        <w:rPr>
          <w:rFonts w:ascii="Bookman Old Style" w:hAnsi="Bookman Old Style"/>
          <w:b w:val="0"/>
          <w:spacing w:val="-3"/>
          <w:sz w:val="28"/>
          <w:szCs w:val="28"/>
        </w:rPr>
        <w:t xml:space="preserve"> por su naturaleza universal se refiere a una masa indivisa y abstracta de</w:t>
      </w:r>
      <w:r w:rsidR="007B5018" w:rsidRPr="00981FA7">
        <w:rPr>
          <w:rFonts w:ascii="Bookman Old Style" w:hAnsi="Bookman Old Style"/>
          <w:b w:val="0"/>
          <w:spacing w:val="-3"/>
          <w:sz w:val="28"/>
          <w:szCs w:val="28"/>
        </w:rPr>
        <w:t xml:space="preserve"> bienes</w:t>
      </w:r>
      <w:r w:rsidR="00AB7EDB" w:rsidRPr="00981FA7">
        <w:rPr>
          <w:rFonts w:ascii="Bookman Old Style" w:hAnsi="Bookman Old Style"/>
          <w:b w:val="0"/>
          <w:spacing w:val="-3"/>
          <w:sz w:val="28"/>
          <w:szCs w:val="28"/>
        </w:rPr>
        <w:t xml:space="preserve"> de la</w:t>
      </w:r>
      <w:r w:rsidR="006D7544" w:rsidRPr="00981FA7">
        <w:rPr>
          <w:rFonts w:ascii="Bookman Old Style" w:hAnsi="Bookman Old Style"/>
          <w:b w:val="0"/>
          <w:spacing w:val="-3"/>
          <w:sz w:val="28"/>
          <w:szCs w:val="28"/>
        </w:rPr>
        <w:t xml:space="preserve"> llamada</w:t>
      </w:r>
      <w:r w:rsidR="00AB7EDB" w:rsidRPr="00981FA7">
        <w:rPr>
          <w:rFonts w:ascii="Bookman Old Style" w:hAnsi="Bookman Old Style"/>
          <w:b w:val="0"/>
          <w:spacing w:val="-3"/>
          <w:sz w:val="28"/>
          <w:szCs w:val="28"/>
        </w:rPr>
        <w:t xml:space="preserve"> sociedad</w:t>
      </w:r>
      <w:r w:rsidR="006D7544" w:rsidRPr="00981FA7">
        <w:rPr>
          <w:rFonts w:ascii="Bookman Old Style" w:hAnsi="Bookman Old Style"/>
          <w:b w:val="0"/>
          <w:spacing w:val="-3"/>
          <w:sz w:val="28"/>
          <w:szCs w:val="28"/>
        </w:rPr>
        <w:t xml:space="preserve"> de gananciales</w:t>
      </w:r>
      <w:r w:rsidR="00DB0606" w:rsidRPr="00981FA7">
        <w:rPr>
          <w:rFonts w:ascii="Bookman Old Style" w:hAnsi="Bookman Old Style"/>
          <w:b w:val="0"/>
          <w:spacing w:val="-3"/>
          <w:sz w:val="28"/>
          <w:szCs w:val="28"/>
        </w:rPr>
        <w:t xml:space="preserve">, </w:t>
      </w:r>
      <w:r w:rsidR="00954F4E" w:rsidRPr="00981FA7">
        <w:rPr>
          <w:rFonts w:ascii="Bookman Old Style" w:hAnsi="Bookman Old Style"/>
          <w:b w:val="0"/>
          <w:spacing w:val="-3"/>
          <w:sz w:val="28"/>
          <w:szCs w:val="28"/>
        </w:rPr>
        <w:t xml:space="preserve">porque </w:t>
      </w:r>
      <w:r w:rsidR="00782DCB" w:rsidRPr="00981FA7">
        <w:rPr>
          <w:rFonts w:ascii="Bookman Old Style" w:hAnsi="Bookman Old Style"/>
          <w:b w:val="0"/>
          <w:spacing w:val="-3"/>
          <w:sz w:val="28"/>
          <w:szCs w:val="28"/>
        </w:rPr>
        <w:t>no</w:t>
      </w:r>
      <w:r w:rsidR="00992CD6" w:rsidRPr="00981FA7">
        <w:rPr>
          <w:rFonts w:ascii="Bookman Old Style" w:hAnsi="Bookman Old Style"/>
          <w:b w:val="0"/>
          <w:spacing w:val="-3"/>
          <w:sz w:val="28"/>
          <w:szCs w:val="28"/>
        </w:rPr>
        <w:t xml:space="preserve"> recae en forma </w:t>
      </w:r>
      <w:r w:rsidR="00992CD6" w:rsidRPr="00981FA7">
        <w:rPr>
          <w:rFonts w:ascii="Bookman Old Style" w:hAnsi="Bookman Old Style"/>
          <w:b w:val="0"/>
          <w:spacing w:val="-3"/>
          <w:sz w:val="28"/>
          <w:szCs w:val="28"/>
        </w:rPr>
        <w:lastRenderedPageBreak/>
        <w:t>individual y concreta</w:t>
      </w:r>
      <w:r w:rsidR="00A941D8" w:rsidRPr="00981FA7">
        <w:rPr>
          <w:rFonts w:ascii="Bookman Old Style" w:hAnsi="Bookman Old Style"/>
          <w:b w:val="0"/>
          <w:spacing w:val="-3"/>
          <w:sz w:val="28"/>
          <w:szCs w:val="28"/>
        </w:rPr>
        <w:t xml:space="preserve"> sobre cada uno de esos elementos patrimoniales</w:t>
      </w:r>
      <w:r w:rsidR="00DB0606" w:rsidRPr="00981FA7">
        <w:rPr>
          <w:rFonts w:ascii="Bookman Old Style" w:hAnsi="Bookman Old Style"/>
          <w:b w:val="0"/>
          <w:spacing w:val="-3"/>
          <w:sz w:val="28"/>
          <w:szCs w:val="28"/>
        </w:rPr>
        <w:t>.</w:t>
      </w:r>
      <w:r w:rsidR="00875868">
        <w:rPr>
          <w:rFonts w:ascii="Bookman Old Style" w:hAnsi="Bookman Old Style"/>
          <w:b w:val="0"/>
          <w:spacing w:val="-3"/>
          <w:sz w:val="28"/>
          <w:szCs w:val="28"/>
        </w:rPr>
        <w:t xml:space="preserve"> </w:t>
      </w:r>
      <w:r w:rsidR="00DB0606" w:rsidRPr="00DB0606">
        <w:rPr>
          <w:rFonts w:ascii="Bookman Old Style" w:hAnsi="Bookman Old Style"/>
          <w:b w:val="0"/>
          <w:spacing w:val="-3"/>
          <w:sz w:val="28"/>
          <w:szCs w:val="28"/>
        </w:rPr>
        <w:t xml:space="preserve"> </w:t>
      </w:r>
    </w:p>
    <w:p w14:paraId="59A04740" w14:textId="77777777" w:rsidR="00782DCB" w:rsidRDefault="00782DCB" w:rsidP="00DB0606">
      <w:pPr>
        <w:pStyle w:val="Subttulo"/>
        <w:ind w:firstLine="709"/>
        <w:jc w:val="both"/>
        <w:rPr>
          <w:rFonts w:ascii="Bookman Old Style" w:hAnsi="Bookman Old Style"/>
          <w:b w:val="0"/>
          <w:spacing w:val="-3"/>
          <w:sz w:val="28"/>
          <w:szCs w:val="28"/>
        </w:rPr>
      </w:pPr>
    </w:p>
    <w:p w14:paraId="74DA594F" w14:textId="77777777" w:rsidR="00DB0606" w:rsidRDefault="00ED5179" w:rsidP="00DB0606">
      <w:pPr>
        <w:pStyle w:val="Subttulo"/>
        <w:ind w:firstLine="709"/>
        <w:jc w:val="both"/>
        <w:rPr>
          <w:rFonts w:ascii="Bookman Old Style" w:hAnsi="Bookman Old Style"/>
          <w:b w:val="0"/>
          <w:spacing w:val="-3"/>
          <w:sz w:val="28"/>
          <w:szCs w:val="28"/>
        </w:rPr>
      </w:pPr>
      <w:r w:rsidRPr="00C53256">
        <w:rPr>
          <w:rFonts w:ascii="Bookman Old Style" w:hAnsi="Bookman Old Style"/>
          <w:b w:val="0"/>
          <w:spacing w:val="-3"/>
          <w:sz w:val="28"/>
          <w:szCs w:val="28"/>
        </w:rPr>
        <w:t xml:space="preserve">Por ser un negocio jurídico unilateral debe reunir </w:t>
      </w:r>
      <w:r w:rsidR="00DB0606" w:rsidRPr="00C53256">
        <w:rPr>
          <w:rFonts w:ascii="Bookman Old Style" w:hAnsi="Bookman Old Style"/>
          <w:b w:val="0"/>
          <w:spacing w:val="-3"/>
          <w:sz w:val="28"/>
          <w:szCs w:val="28"/>
        </w:rPr>
        <w:t xml:space="preserve">los requisitos </w:t>
      </w:r>
      <w:r w:rsidRPr="00C53256">
        <w:rPr>
          <w:rFonts w:ascii="Bookman Old Style" w:hAnsi="Bookman Old Style"/>
          <w:b w:val="0"/>
          <w:spacing w:val="-3"/>
          <w:sz w:val="28"/>
          <w:szCs w:val="28"/>
        </w:rPr>
        <w:t>establecidos por el artículo 1502 del Código Civil</w:t>
      </w:r>
      <w:r w:rsidR="00C53256" w:rsidRPr="00C53256">
        <w:rPr>
          <w:rFonts w:ascii="Bookman Old Style" w:hAnsi="Bookman Old Style"/>
          <w:b w:val="0"/>
          <w:spacing w:val="-3"/>
          <w:sz w:val="28"/>
          <w:szCs w:val="28"/>
        </w:rPr>
        <w:t>. Esto es,</w:t>
      </w:r>
      <w:r w:rsidRPr="00C53256">
        <w:rPr>
          <w:rFonts w:ascii="Bookman Old Style" w:hAnsi="Bookman Old Style"/>
          <w:b w:val="0"/>
          <w:spacing w:val="-3"/>
          <w:sz w:val="28"/>
          <w:szCs w:val="28"/>
        </w:rPr>
        <w:t xml:space="preserve"> </w:t>
      </w:r>
      <w:r w:rsidR="00C53256" w:rsidRPr="00C53256">
        <w:rPr>
          <w:rFonts w:ascii="Bookman Old Style" w:hAnsi="Bookman Old Style"/>
          <w:b w:val="0"/>
          <w:spacing w:val="-3"/>
          <w:sz w:val="28"/>
          <w:szCs w:val="28"/>
        </w:rPr>
        <w:t>respecto de</w:t>
      </w:r>
      <w:r w:rsidR="00DB0606" w:rsidRPr="00C53256">
        <w:rPr>
          <w:rFonts w:ascii="Bookman Old Style" w:hAnsi="Bookman Old Style"/>
          <w:b w:val="0"/>
          <w:spacing w:val="-3"/>
          <w:sz w:val="28"/>
          <w:szCs w:val="28"/>
        </w:rPr>
        <w:t xml:space="preserve"> la capacidad, consentimiento, </w:t>
      </w:r>
      <w:r w:rsidR="00C53256" w:rsidRPr="00C53256">
        <w:rPr>
          <w:rFonts w:ascii="Bookman Old Style" w:hAnsi="Bookman Old Style"/>
          <w:b w:val="0"/>
          <w:spacing w:val="-3"/>
          <w:sz w:val="28"/>
          <w:szCs w:val="28"/>
        </w:rPr>
        <w:t xml:space="preserve">objeto y </w:t>
      </w:r>
      <w:r w:rsidR="00DB0606" w:rsidRPr="00C53256">
        <w:rPr>
          <w:rFonts w:ascii="Bookman Old Style" w:hAnsi="Bookman Old Style"/>
          <w:b w:val="0"/>
          <w:spacing w:val="-3"/>
          <w:sz w:val="28"/>
          <w:szCs w:val="28"/>
        </w:rPr>
        <w:t>caus</w:t>
      </w:r>
      <w:r w:rsidR="00C53256" w:rsidRPr="00C53256">
        <w:rPr>
          <w:rFonts w:ascii="Bookman Old Style" w:hAnsi="Bookman Old Style"/>
          <w:b w:val="0"/>
          <w:spacing w:val="-3"/>
          <w:sz w:val="28"/>
          <w:szCs w:val="28"/>
        </w:rPr>
        <w:t xml:space="preserve">a. Como se sabe, como acontece con </w:t>
      </w:r>
      <w:r w:rsidR="00DB0606" w:rsidRPr="00C53256">
        <w:rPr>
          <w:rFonts w:ascii="Bookman Old Style" w:hAnsi="Bookman Old Style"/>
          <w:b w:val="0"/>
          <w:spacing w:val="-3"/>
          <w:sz w:val="28"/>
          <w:szCs w:val="28"/>
        </w:rPr>
        <w:t>la repudiación de derechos sucesorales, la renuncia de los derechos sociales de gananciales es irrevocable</w:t>
      </w:r>
      <w:r w:rsidR="00C53256" w:rsidRPr="00C53256">
        <w:rPr>
          <w:rFonts w:ascii="Bookman Old Style" w:hAnsi="Bookman Old Style"/>
          <w:b w:val="0"/>
          <w:spacing w:val="-3"/>
          <w:sz w:val="28"/>
          <w:szCs w:val="28"/>
        </w:rPr>
        <w:t>. Desde luego,</w:t>
      </w:r>
      <w:r w:rsidR="00DB0606" w:rsidRPr="00C53256">
        <w:rPr>
          <w:rFonts w:ascii="Bookman Old Style" w:hAnsi="Bookman Old Style"/>
          <w:b w:val="0"/>
          <w:spacing w:val="-3"/>
          <w:sz w:val="28"/>
          <w:szCs w:val="28"/>
        </w:rPr>
        <w:t xml:space="preserve"> sin perjuicio de la posibilidad de su rescisión cuando se probare "</w:t>
      </w:r>
      <w:r w:rsidR="00DB0606" w:rsidRPr="00C53256">
        <w:rPr>
          <w:rFonts w:ascii="Bookman Old Style" w:hAnsi="Bookman Old Style"/>
          <w:b w:val="0"/>
          <w:i/>
          <w:iCs/>
          <w:spacing w:val="-3"/>
          <w:sz w:val="28"/>
          <w:szCs w:val="28"/>
        </w:rPr>
        <w:t>que la mujer</w:t>
      </w:r>
      <w:r w:rsidR="00DB0606" w:rsidRPr="00C53256">
        <w:rPr>
          <w:rFonts w:ascii="Bookman Old Style" w:hAnsi="Bookman Old Style"/>
          <w:b w:val="0"/>
          <w:spacing w:val="-3"/>
          <w:sz w:val="28"/>
          <w:szCs w:val="28"/>
        </w:rPr>
        <w:t xml:space="preserve"> (hoy también el marido) </w:t>
      </w:r>
      <w:r w:rsidR="00DB0606" w:rsidRPr="00C53256">
        <w:rPr>
          <w:rFonts w:ascii="Bookman Old Style" w:hAnsi="Bookman Old Style"/>
          <w:b w:val="0"/>
          <w:i/>
          <w:iCs/>
          <w:spacing w:val="-3"/>
          <w:sz w:val="28"/>
          <w:szCs w:val="28"/>
        </w:rPr>
        <w:t xml:space="preserve">o sus herederos han sido inducidos a </w:t>
      </w:r>
      <w:r w:rsidR="0043247D" w:rsidRPr="00C53256">
        <w:rPr>
          <w:rFonts w:ascii="Bookman Old Style" w:hAnsi="Bookman Old Style"/>
          <w:b w:val="0"/>
          <w:i/>
          <w:iCs/>
          <w:spacing w:val="-3"/>
          <w:sz w:val="28"/>
          <w:szCs w:val="28"/>
        </w:rPr>
        <w:t>renunciar</w:t>
      </w:r>
      <w:r w:rsidR="00DB0606" w:rsidRPr="00C53256">
        <w:rPr>
          <w:rFonts w:ascii="Bookman Old Style" w:hAnsi="Bookman Old Style"/>
          <w:b w:val="0"/>
          <w:i/>
          <w:iCs/>
          <w:spacing w:val="-3"/>
          <w:sz w:val="28"/>
          <w:szCs w:val="28"/>
        </w:rPr>
        <w:t xml:space="preserve"> por engaño o por un justificable error acerca del verdadero estado de los negocios sociales</w:t>
      </w:r>
      <w:r w:rsidR="00C53256" w:rsidRPr="00C53256">
        <w:rPr>
          <w:rFonts w:ascii="Bookman Old Style" w:hAnsi="Bookman Old Style"/>
          <w:b w:val="0"/>
          <w:i/>
          <w:iCs/>
          <w:spacing w:val="-3"/>
          <w:sz w:val="28"/>
          <w:szCs w:val="28"/>
        </w:rPr>
        <w:t>.</w:t>
      </w:r>
      <w:r w:rsidR="00DB0606" w:rsidRPr="00C53256">
        <w:rPr>
          <w:rFonts w:ascii="Bookman Old Style" w:hAnsi="Bookman Old Style"/>
          <w:b w:val="0"/>
          <w:spacing w:val="-3"/>
          <w:sz w:val="28"/>
          <w:szCs w:val="28"/>
        </w:rPr>
        <w:t>"</w:t>
      </w:r>
      <w:r w:rsidR="00C53256" w:rsidRPr="00C53256">
        <w:rPr>
          <w:rFonts w:ascii="Bookman Old Style" w:hAnsi="Bookman Old Style"/>
          <w:b w:val="0"/>
          <w:spacing w:val="-3"/>
          <w:sz w:val="28"/>
          <w:szCs w:val="28"/>
        </w:rPr>
        <w:t xml:space="preserve"> En este caso, para terminar, </w:t>
      </w:r>
      <w:r w:rsidR="00DB0606" w:rsidRPr="00C53256">
        <w:rPr>
          <w:rFonts w:ascii="Bookman Old Style" w:hAnsi="Bookman Old Style"/>
          <w:b w:val="0"/>
          <w:spacing w:val="-3"/>
          <w:sz w:val="28"/>
          <w:szCs w:val="28"/>
        </w:rPr>
        <w:t>la acción rescisoria solamente p</w:t>
      </w:r>
      <w:r w:rsidR="00C53256" w:rsidRPr="00C53256">
        <w:rPr>
          <w:rFonts w:ascii="Bookman Old Style" w:hAnsi="Bookman Old Style"/>
          <w:b w:val="0"/>
          <w:spacing w:val="-3"/>
          <w:sz w:val="28"/>
          <w:szCs w:val="28"/>
        </w:rPr>
        <w:t>odría</w:t>
      </w:r>
      <w:r w:rsidR="00DB0606" w:rsidRPr="00C53256">
        <w:rPr>
          <w:rFonts w:ascii="Bookman Old Style" w:hAnsi="Bookman Old Style"/>
          <w:b w:val="0"/>
          <w:spacing w:val="-3"/>
          <w:sz w:val="28"/>
          <w:szCs w:val="28"/>
        </w:rPr>
        <w:t xml:space="preserve"> instaurarse dentro de los cuatro años siguientes a la disolución de la sociedad</w:t>
      </w:r>
      <w:r w:rsidRPr="00C53256">
        <w:rPr>
          <w:rFonts w:ascii="Bookman Old Style" w:hAnsi="Bookman Old Style"/>
          <w:b w:val="0"/>
          <w:spacing w:val="-3"/>
          <w:sz w:val="28"/>
          <w:szCs w:val="28"/>
        </w:rPr>
        <w:t xml:space="preserve">, según el </w:t>
      </w:r>
      <w:r w:rsidR="00DB0606" w:rsidRPr="00C53256">
        <w:rPr>
          <w:rFonts w:ascii="Bookman Old Style" w:hAnsi="Bookman Old Style"/>
          <w:b w:val="0"/>
          <w:spacing w:val="-3"/>
          <w:sz w:val="28"/>
          <w:szCs w:val="28"/>
        </w:rPr>
        <w:t>art</w:t>
      </w:r>
      <w:r w:rsidRPr="00C53256">
        <w:rPr>
          <w:rFonts w:ascii="Bookman Old Style" w:hAnsi="Bookman Old Style"/>
          <w:b w:val="0"/>
          <w:spacing w:val="-3"/>
          <w:sz w:val="28"/>
          <w:szCs w:val="28"/>
        </w:rPr>
        <w:t>ículo</w:t>
      </w:r>
      <w:r w:rsidR="00DB0606" w:rsidRPr="00C53256">
        <w:rPr>
          <w:rFonts w:ascii="Bookman Old Style" w:hAnsi="Bookman Old Style"/>
          <w:b w:val="0"/>
          <w:spacing w:val="-3"/>
          <w:sz w:val="28"/>
          <w:szCs w:val="28"/>
        </w:rPr>
        <w:t xml:space="preserve"> 1838</w:t>
      </w:r>
      <w:r w:rsidRPr="00C53256">
        <w:rPr>
          <w:rFonts w:ascii="Bookman Old Style" w:hAnsi="Bookman Old Style"/>
          <w:b w:val="0"/>
          <w:spacing w:val="-3"/>
          <w:sz w:val="28"/>
          <w:szCs w:val="28"/>
        </w:rPr>
        <w:t xml:space="preserve">, </w:t>
      </w:r>
      <w:r w:rsidR="00C8185D" w:rsidRPr="00C53256">
        <w:rPr>
          <w:rFonts w:ascii="Bookman Old Style" w:hAnsi="Bookman Old Style"/>
          <w:b w:val="0"/>
          <w:i/>
          <w:iCs/>
          <w:spacing w:val="-3"/>
          <w:sz w:val="28"/>
          <w:szCs w:val="28"/>
        </w:rPr>
        <w:t>ibídem</w:t>
      </w:r>
      <w:r w:rsidR="00F4517A" w:rsidRPr="00C53256">
        <w:rPr>
          <w:rFonts w:ascii="Bookman Old Style" w:hAnsi="Bookman Old Style"/>
          <w:b w:val="0"/>
          <w:spacing w:val="-3"/>
          <w:sz w:val="28"/>
          <w:szCs w:val="28"/>
        </w:rPr>
        <w:t xml:space="preserve"> (CSJ. Sent, </w:t>
      </w:r>
      <w:r w:rsidR="0049083D" w:rsidRPr="00C53256">
        <w:rPr>
          <w:rFonts w:ascii="Bookman Old Style" w:hAnsi="Bookman Old Style"/>
          <w:b w:val="0"/>
          <w:spacing w:val="-3"/>
          <w:sz w:val="28"/>
          <w:szCs w:val="28"/>
        </w:rPr>
        <w:t>4 de marzo de 1996, expediente 4751</w:t>
      </w:r>
      <w:r w:rsidR="005A3D5D" w:rsidRPr="00C53256">
        <w:rPr>
          <w:rFonts w:ascii="Bookman Old Style" w:hAnsi="Bookman Old Style"/>
          <w:b w:val="0"/>
          <w:spacing w:val="-3"/>
          <w:sz w:val="28"/>
          <w:szCs w:val="28"/>
        </w:rPr>
        <w:t>).</w:t>
      </w:r>
    </w:p>
    <w:p w14:paraId="77A11D96" w14:textId="77777777" w:rsidR="00133238" w:rsidRDefault="00133238" w:rsidP="00DB0606">
      <w:pPr>
        <w:pStyle w:val="Subttulo"/>
        <w:ind w:firstLine="709"/>
        <w:jc w:val="both"/>
        <w:rPr>
          <w:rFonts w:ascii="Bookman Old Style" w:hAnsi="Bookman Old Style"/>
          <w:b w:val="0"/>
          <w:spacing w:val="-3"/>
          <w:sz w:val="28"/>
          <w:szCs w:val="28"/>
        </w:rPr>
      </w:pPr>
    </w:p>
    <w:p w14:paraId="7AF9074A" w14:textId="77777777" w:rsidR="00D61659" w:rsidRDefault="006243FD" w:rsidP="00D61659">
      <w:pPr>
        <w:pStyle w:val="Subttulo"/>
        <w:ind w:firstLine="709"/>
        <w:jc w:val="both"/>
        <w:rPr>
          <w:rFonts w:ascii="Bookman Old Style" w:hAnsi="Bookman Old Style"/>
          <w:b w:val="0"/>
          <w:spacing w:val="-3"/>
          <w:sz w:val="28"/>
          <w:szCs w:val="28"/>
        </w:rPr>
      </w:pPr>
      <w:r>
        <w:rPr>
          <w:rFonts w:ascii="Bookman Old Style" w:hAnsi="Bookman Old Style"/>
          <w:b w:val="0"/>
          <w:spacing w:val="-3"/>
          <w:sz w:val="28"/>
          <w:szCs w:val="28"/>
        </w:rPr>
        <w:t>9</w:t>
      </w:r>
      <w:r w:rsidR="00C47443">
        <w:rPr>
          <w:rFonts w:ascii="Bookman Old Style" w:hAnsi="Bookman Old Style"/>
          <w:b w:val="0"/>
          <w:spacing w:val="-3"/>
          <w:sz w:val="28"/>
          <w:szCs w:val="28"/>
        </w:rPr>
        <w:t xml:space="preserve">. </w:t>
      </w:r>
      <w:r w:rsidR="00E41333">
        <w:rPr>
          <w:rFonts w:ascii="Bookman Old Style" w:hAnsi="Bookman Old Style"/>
          <w:b w:val="0"/>
          <w:spacing w:val="-3"/>
          <w:sz w:val="28"/>
          <w:szCs w:val="28"/>
        </w:rPr>
        <w:t xml:space="preserve">En punto al tema de la figura jurídica de la inoponibilidad </w:t>
      </w:r>
      <w:r w:rsidR="00503BD3">
        <w:rPr>
          <w:rFonts w:ascii="Bookman Old Style" w:hAnsi="Bookman Old Style"/>
          <w:b w:val="0"/>
          <w:spacing w:val="-3"/>
          <w:sz w:val="28"/>
          <w:szCs w:val="28"/>
        </w:rPr>
        <w:t>que es la invocada por el promotor y estudi</w:t>
      </w:r>
      <w:r w:rsidR="00DE7869">
        <w:rPr>
          <w:rFonts w:ascii="Bookman Old Style" w:hAnsi="Bookman Old Style"/>
          <w:b w:val="0"/>
          <w:spacing w:val="-3"/>
          <w:sz w:val="28"/>
          <w:szCs w:val="28"/>
        </w:rPr>
        <w:t>a</w:t>
      </w:r>
      <w:r w:rsidR="00503BD3">
        <w:rPr>
          <w:rFonts w:ascii="Bookman Old Style" w:hAnsi="Bookman Old Style"/>
          <w:b w:val="0"/>
          <w:spacing w:val="-3"/>
          <w:sz w:val="28"/>
          <w:szCs w:val="28"/>
        </w:rPr>
        <w:t xml:space="preserve">da por el </w:t>
      </w:r>
      <w:r w:rsidR="00C53256">
        <w:rPr>
          <w:rFonts w:ascii="Bookman Old Style" w:hAnsi="Bookman Old Style"/>
          <w:b w:val="0"/>
          <w:spacing w:val="-3"/>
          <w:sz w:val="28"/>
          <w:szCs w:val="28"/>
        </w:rPr>
        <w:t>T</w:t>
      </w:r>
      <w:r w:rsidR="00503BD3">
        <w:rPr>
          <w:rFonts w:ascii="Bookman Old Style" w:hAnsi="Bookman Old Style"/>
          <w:b w:val="0"/>
          <w:spacing w:val="-3"/>
          <w:sz w:val="28"/>
          <w:szCs w:val="28"/>
        </w:rPr>
        <w:t xml:space="preserve">ribunal, </w:t>
      </w:r>
      <w:r w:rsidR="00E41333">
        <w:rPr>
          <w:rFonts w:ascii="Bookman Old Style" w:hAnsi="Bookman Old Style"/>
          <w:b w:val="0"/>
          <w:spacing w:val="-3"/>
          <w:sz w:val="28"/>
          <w:szCs w:val="28"/>
        </w:rPr>
        <w:t>la Sala ha tenido oportunidad de tratarla en múltiples sentencias</w:t>
      </w:r>
      <w:r w:rsidR="00EF0B2D">
        <w:rPr>
          <w:rFonts w:ascii="Bookman Old Style" w:hAnsi="Bookman Old Style"/>
          <w:b w:val="0"/>
          <w:spacing w:val="-3"/>
          <w:sz w:val="28"/>
          <w:szCs w:val="28"/>
        </w:rPr>
        <w:t>.</w:t>
      </w:r>
      <w:r w:rsidR="00E41333">
        <w:rPr>
          <w:rFonts w:ascii="Bookman Old Style" w:hAnsi="Bookman Old Style"/>
          <w:b w:val="0"/>
          <w:spacing w:val="-3"/>
          <w:sz w:val="28"/>
          <w:szCs w:val="28"/>
        </w:rPr>
        <w:t xml:space="preserve"> </w:t>
      </w:r>
      <w:r w:rsidR="00EF0B2D">
        <w:rPr>
          <w:rFonts w:ascii="Bookman Old Style" w:hAnsi="Bookman Old Style"/>
          <w:b w:val="0"/>
          <w:spacing w:val="-3"/>
          <w:sz w:val="28"/>
          <w:szCs w:val="28"/>
        </w:rPr>
        <w:t>Ha</w:t>
      </w:r>
      <w:r w:rsidR="00E41333">
        <w:rPr>
          <w:rFonts w:ascii="Bookman Old Style" w:hAnsi="Bookman Old Style"/>
          <w:b w:val="0"/>
          <w:spacing w:val="-3"/>
          <w:sz w:val="28"/>
          <w:szCs w:val="28"/>
        </w:rPr>
        <w:t xml:space="preserve"> reconocido expresamente que</w:t>
      </w:r>
      <w:r w:rsidR="00D61659">
        <w:rPr>
          <w:rFonts w:ascii="Bookman Old Style" w:hAnsi="Bookman Old Style"/>
          <w:b w:val="0"/>
          <w:spacing w:val="-3"/>
          <w:sz w:val="28"/>
          <w:szCs w:val="28"/>
        </w:rPr>
        <w:t xml:space="preserve"> </w:t>
      </w:r>
    </w:p>
    <w:p w14:paraId="3E998F34" w14:textId="77777777" w:rsidR="00D61659" w:rsidRDefault="00D61659" w:rsidP="00D61659">
      <w:pPr>
        <w:pStyle w:val="Subttulo"/>
        <w:ind w:firstLine="709"/>
        <w:jc w:val="both"/>
        <w:rPr>
          <w:rFonts w:ascii="Bookman Old Style" w:hAnsi="Bookman Old Style"/>
          <w:b w:val="0"/>
          <w:spacing w:val="-3"/>
          <w:sz w:val="28"/>
          <w:szCs w:val="28"/>
        </w:rPr>
      </w:pPr>
    </w:p>
    <w:p w14:paraId="24179855" w14:textId="77777777" w:rsidR="00ED1597" w:rsidRDefault="000C31E3" w:rsidP="00503BD3">
      <w:pPr>
        <w:pStyle w:val="Subttulo"/>
        <w:ind w:left="709"/>
        <w:jc w:val="both"/>
        <w:rPr>
          <w:rFonts w:ascii="Bookman Old Style" w:hAnsi="Bookman Old Style" w:cs="Arial"/>
          <w:b w:val="0"/>
          <w:sz w:val="28"/>
          <w:szCs w:val="28"/>
        </w:rPr>
      </w:pPr>
      <w:r>
        <w:rPr>
          <w:rFonts w:ascii="Bookman Old Style" w:hAnsi="Bookman Old Style" w:cs="Arial"/>
          <w:b w:val="0"/>
          <w:i/>
          <w:sz w:val="24"/>
          <w:szCs w:val="24"/>
        </w:rPr>
        <w:t>“</w:t>
      </w:r>
      <w:r w:rsidR="00503BD3" w:rsidRPr="00503BD3">
        <w:rPr>
          <w:rFonts w:ascii="Bookman Old Style" w:hAnsi="Bookman Old Style" w:cs="Arial"/>
          <w:b w:val="0"/>
          <w:i/>
          <w:sz w:val="24"/>
          <w:szCs w:val="24"/>
        </w:rPr>
        <w:t xml:space="preserve">(…) </w:t>
      </w:r>
      <w:r w:rsidR="00D61659" w:rsidRPr="00503BD3">
        <w:rPr>
          <w:rFonts w:ascii="Bookman Old Style" w:hAnsi="Bookman Old Style" w:cs="Arial"/>
          <w:b w:val="0"/>
          <w:i/>
          <w:sz w:val="24"/>
          <w:szCs w:val="24"/>
        </w:rPr>
        <w:t xml:space="preserve">la inoponibilidad no se encuentra debidamente sistematizada en el derecho positivo patrio, como sí lo está, por ejemplo, la nulidad de los negocios jurídicos, respecto de la cual el Código Civil en particular dedica toda una estructura normativa a regularla en su doble faceta, no lo es menos que ninguna duda existe acerca de su consagración legal, pues, así sea de manera diseminada, existen en el concierto jurídico colombiano diversas disposiciones a través de las cuales emerge </w:t>
      </w:r>
      <w:r w:rsidR="00D61659" w:rsidRPr="00503BD3">
        <w:rPr>
          <w:rFonts w:ascii="Bookman Old Style" w:hAnsi="Bookman Old Style" w:cs="Arial"/>
          <w:b w:val="0"/>
          <w:i/>
          <w:sz w:val="24"/>
          <w:szCs w:val="24"/>
        </w:rPr>
        <w:lastRenderedPageBreak/>
        <w:t xml:space="preserve">su regulación legal, como lo son, </w:t>
      </w:r>
      <w:r w:rsidR="00D61659" w:rsidRPr="00503BD3">
        <w:rPr>
          <w:rFonts w:ascii="Bookman Old Style" w:hAnsi="Bookman Old Style" w:cs="Arial"/>
          <w:b w:val="0"/>
          <w:i/>
          <w:iCs/>
          <w:sz w:val="24"/>
          <w:szCs w:val="24"/>
        </w:rPr>
        <w:t>verbi gratia</w:t>
      </w:r>
      <w:r w:rsidR="00D61659" w:rsidRPr="00503BD3">
        <w:rPr>
          <w:rFonts w:ascii="Bookman Old Style" w:hAnsi="Bookman Old Style" w:cs="Arial"/>
          <w:b w:val="0"/>
          <w:i/>
          <w:sz w:val="24"/>
          <w:szCs w:val="24"/>
        </w:rPr>
        <w:t>, los artículos 640, 1505, 1871, 2105 del Código Civil y 833 del Código de Comercio, entre otros</w:t>
      </w:r>
      <w:r w:rsidR="00503BD3">
        <w:rPr>
          <w:rFonts w:ascii="Bookman Old Style" w:hAnsi="Bookman Old Style" w:cs="Arial"/>
          <w:b w:val="0"/>
          <w:sz w:val="24"/>
          <w:szCs w:val="24"/>
        </w:rPr>
        <w:t xml:space="preserve">, </w:t>
      </w:r>
      <w:r w:rsidR="00D61659" w:rsidRPr="00503BD3">
        <w:rPr>
          <w:rFonts w:ascii="Bookman Old Style" w:hAnsi="Bookman Old Style" w:cs="Arial"/>
          <w:b w:val="0"/>
          <w:i/>
          <w:sz w:val="24"/>
          <w:szCs w:val="24"/>
        </w:rPr>
        <w:t>en los cuales se prevén algunos de los eventos en que el acto o contrato deviene inoponible haciendo que el mismo se torne ineficaz frente a quien en un momento dado ostentare la condición de tercero. Alrededor de esta específica y puntual temática ha de reiterarse que sin desconocer que “el legislador, normalmente, como ocurre en nuestro Código, no establece una teoría general de la inoponibilidad”, cual efectivamente “lo hace con la nulidad”, lo cierto es que dicha institución sí “está establecida en numerosos preceptos, y su existencia está reconocida por todos los autores y la jurisprudencia”</w:t>
      </w:r>
      <w:r w:rsidR="00D61659" w:rsidRPr="000C31E3">
        <w:rPr>
          <w:rStyle w:val="Refdenotaalpie"/>
          <w:rFonts w:ascii="Bookman Old Style" w:hAnsi="Bookman Old Style" w:cs="Arial"/>
          <w:b w:val="0"/>
          <w:i/>
          <w:sz w:val="16"/>
          <w:szCs w:val="16"/>
        </w:rPr>
        <w:footnoteReference w:id="1"/>
      </w:r>
      <w:r w:rsidR="00ED1597">
        <w:rPr>
          <w:rFonts w:ascii="Bookman Old Style" w:hAnsi="Bookman Old Style" w:cs="Arial"/>
          <w:b w:val="0"/>
          <w:i/>
          <w:sz w:val="24"/>
          <w:szCs w:val="24"/>
        </w:rPr>
        <w:t xml:space="preserve"> </w:t>
      </w:r>
      <w:r w:rsidR="00ED1597">
        <w:rPr>
          <w:rFonts w:ascii="Bookman Old Style" w:hAnsi="Bookman Old Style" w:cs="Arial"/>
          <w:b w:val="0"/>
          <w:sz w:val="28"/>
          <w:szCs w:val="28"/>
        </w:rPr>
        <w:t>(CSJ. Sent, 15 de agosto de 2016, exp. 08001-31-10-003-1995-9375-01</w:t>
      </w:r>
      <w:r w:rsidR="00E6612C">
        <w:rPr>
          <w:rFonts w:ascii="Bookman Old Style" w:hAnsi="Bookman Old Style" w:cs="Arial"/>
          <w:b w:val="0"/>
          <w:sz w:val="28"/>
          <w:szCs w:val="28"/>
        </w:rPr>
        <w:t>; en igual sentido, sentencia de 26 de agosto de 1947, GJ. LXII, pág. 676</w:t>
      </w:r>
      <w:r w:rsidR="00ED1597">
        <w:rPr>
          <w:rFonts w:ascii="Bookman Old Style" w:hAnsi="Bookman Old Style" w:cs="Arial"/>
          <w:b w:val="0"/>
          <w:sz w:val="28"/>
          <w:szCs w:val="28"/>
        </w:rPr>
        <w:t>).</w:t>
      </w:r>
    </w:p>
    <w:p w14:paraId="383BB192" w14:textId="77777777" w:rsidR="00034405" w:rsidRDefault="00034405" w:rsidP="007D73F5">
      <w:pPr>
        <w:pStyle w:val="Subttulo"/>
        <w:jc w:val="both"/>
        <w:rPr>
          <w:rFonts w:ascii="Bookman Old Style" w:hAnsi="Bookman Old Style" w:cs="Arial"/>
          <w:b w:val="0"/>
          <w:sz w:val="28"/>
          <w:szCs w:val="28"/>
        </w:rPr>
      </w:pPr>
    </w:p>
    <w:p w14:paraId="65180CD2" w14:textId="77777777" w:rsidR="007D73F5" w:rsidRDefault="007D73F5" w:rsidP="007D73F5">
      <w:pPr>
        <w:widowControl w:val="0"/>
        <w:spacing w:line="360" w:lineRule="auto"/>
        <w:ind w:firstLine="709"/>
        <w:jc w:val="both"/>
        <w:rPr>
          <w:rFonts w:ascii="Bookman Old Style" w:hAnsi="Bookman Old Style" w:cs="Arial"/>
          <w:sz w:val="28"/>
        </w:rPr>
      </w:pPr>
      <w:r>
        <w:rPr>
          <w:rFonts w:ascii="Bookman Old Style" w:hAnsi="Bookman Old Style" w:cs="Arial"/>
          <w:sz w:val="28"/>
          <w:lang w:val="es-ES_tradnl"/>
        </w:rPr>
        <w:t xml:space="preserve">Como se sabe, </w:t>
      </w:r>
      <w:r w:rsidR="00034405">
        <w:rPr>
          <w:rFonts w:ascii="Bookman Old Style" w:hAnsi="Bookman Old Style" w:cs="Arial"/>
          <w:sz w:val="28"/>
        </w:rPr>
        <w:t>la</w:t>
      </w:r>
      <w:r w:rsidR="00034405" w:rsidRPr="00034405">
        <w:rPr>
          <w:rFonts w:ascii="Bookman Old Style" w:hAnsi="Bookman Old Style" w:cs="Arial"/>
          <w:sz w:val="28"/>
        </w:rPr>
        <w:t xml:space="preserve"> inoponibilidad</w:t>
      </w:r>
      <w:r>
        <w:rPr>
          <w:rFonts w:ascii="Bookman Old Style" w:hAnsi="Bookman Old Style" w:cs="Arial"/>
          <w:sz w:val="28"/>
        </w:rPr>
        <w:t>, antes que destruir el acto jurídico, paraliza sus efectos frente a uno o varios sujetos. A guisa de ejemplo, piénsese en un tercero, respecto del cual un determinado acto jurídico no podría producir efectos jurídicos. Empero</w:t>
      </w:r>
      <w:r w:rsidR="00F37F93">
        <w:rPr>
          <w:rFonts w:ascii="Bookman Old Style" w:hAnsi="Bookman Old Style" w:cs="Arial"/>
          <w:sz w:val="28"/>
        </w:rPr>
        <w:t xml:space="preserve">, para su(s) autor(es) es eficaz y mantiene </w:t>
      </w:r>
      <w:r w:rsidR="00BA7029">
        <w:rPr>
          <w:rFonts w:ascii="Bookman Old Style" w:hAnsi="Bookman Old Style" w:cs="Arial"/>
          <w:sz w:val="28"/>
        </w:rPr>
        <w:t xml:space="preserve">sus </w:t>
      </w:r>
      <w:r w:rsidR="00F37F93">
        <w:rPr>
          <w:rFonts w:ascii="Bookman Old Style" w:hAnsi="Bookman Old Style" w:cs="Arial"/>
          <w:sz w:val="28"/>
        </w:rPr>
        <w:t>efectos jurídicos</w:t>
      </w:r>
      <w:r w:rsidR="00BA7029">
        <w:rPr>
          <w:rFonts w:ascii="Bookman Old Style" w:hAnsi="Bookman Old Style" w:cs="Arial"/>
          <w:sz w:val="28"/>
        </w:rPr>
        <w:t xml:space="preserve"> vinculantes</w:t>
      </w:r>
      <w:r w:rsidR="007B0E74">
        <w:rPr>
          <w:rFonts w:ascii="Bookman Old Style" w:hAnsi="Bookman Old Style" w:cs="Arial"/>
          <w:sz w:val="28"/>
        </w:rPr>
        <w:t xml:space="preserve">. </w:t>
      </w:r>
    </w:p>
    <w:p w14:paraId="66B0CBDF" w14:textId="77777777" w:rsidR="007D73F5" w:rsidRDefault="007D73F5" w:rsidP="007D73F5">
      <w:pPr>
        <w:widowControl w:val="0"/>
        <w:spacing w:line="360" w:lineRule="auto"/>
        <w:ind w:firstLine="709"/>
        <w:jc w:val="both"/>
        <w:rPr>
          <w:rFonts w:ascii="Bookman Old Style" w:hAnsi="Bookman Old Style" w:cs="Arial"/>
          <w:sz w:val="28"/>
        </w:rPr>
      </w:pPr>
    </w:p>
    <w:p w14:paraId="278A2652" w14:textId="77777777" w:rsidR="00D80879" w:rsidRPr="007D73F5" w:rsidRDefault="007D73F5" w:rsidP="007D73F5">
      <w:pPr>
        <w:widowControl w:val="0"/>
        <w:spacing w:line="360" w:lineRule="auto"/>
        <w:ind w:firstLine="709"/>
        <w:jc w:val="both"/>
        <w:rPr>
          <w:rFonts w:ascii="Bookman Old Style" w:hAnsi="Bookman Old Style" w:cs="Arial"/>
          <w:bCs/>
          <w:sz w:val="28"/>
        </w:rPr>
      </w:pPr>
      <w:r>
        <w:rPr>
          <w:rFonts w:ascii="Bookman Old Style" w:hAnsi="Bookman Old Style" w:cs="Arial"/>
          <w:sz w:val="28"/>
        </w:rPr>
        <w:t xml:space="preserve">He aquí un rasgo protuberante que diferencia </w:t>
      </w:r>
      <w:r w:rsidR="00E62823">
        <w:rPr>
          <w:rFonts w:ascii="Bookman Old Style" w:hAnsi="Bookman Old Style" w:cs="Arial"/>
          <w:sz w:val="28"/>
        </w:rPr>
        <w:t xml:space="preserve">a la inoponibilidad </w:t>
      </w:r>
      <w:r>
        <w:rPr>
          <w:rFonts w:ascii="Bookman Old Style" w:hAnsi="Bookman Old Style" w:cs="Arial"/>
          <w:sz w:val="28"/>
        </w:rPr>
        <w:t>de la nulidad: está última, ya absoluta, ya relativa, destruye -en principio, retroactivamente- el acto o negocio jurídico</w:t>
      </w:r>
      <w:r w:rsidR="009A2324">
        <w:rPr>
          <w:rFonts w:ascii="Bookman Old Style" w:hAnsi="Bookman Old Style" w:cs="Arial"/>
          <w:b/>
          <w:sz w:val="28"/>
          <w:szCs w:val="28"/>
        </w:rPr>
        <w:t>.</w:t>
      </w:r>
      <w:r w:rsidR="00CE2C47">
        <w:rPr>
          <w:rFonts w:ascii="Bookman Old Style" w:hAnsi="Bookman Old Style" w:cs="Arial"/>
          <w:b/>
          <w:sz w:val="28"/>
          <w:szCs w:val="28"/>
        </w:rPr>
        <w:t xml:space="preserve"> </w:t>
      </w:r>
      <w:r w:rsidR="009A2324" w:rsidRPr="007D73F5">
        <w:rPr>
          <w:rFonts w:ascii="Bookman Old Style" w:hAnsi="Bookman Old Style" w:cs="Arial"/>
          <w:bCs/>
          <w:sz w:val="28"/>
          <w:szCs w:val="28"/>
        </w:rPr>
        <w:t>A</w:t>
      </w:r>
      <w:r w:rsidR="00596094" w:rsidRPr="007D73F5">
        <w:rPr>
          <w:rFonts w:ascii="Bookman Old Style" w:hAnsi="Bookman Old Style" w:cs="Arial"/>
          <w:bCs/>
          <w:sz w:val="28"/>
          <w:szCs w:val="28"/>
        </w:rPr>
        <w:t xml:space="preserve">demás, </w:t>
      </w:r>
      <w:r w:rsidR="007B0F8A" w:rsidRPr="007D73F5">
        <w:rPr>
          <w:rFonts w:ascii="Bookman Old Style" w:hAnsi="Bookman Old Style" w:cs="Arial"/>
          <w:bCs/>
          <w:sz w:val="28"/>
          <w:szCs w:val="28"/>
        </w:rPr>
        <w:t>los motivos de la nulidad absoluta son taxativos, por tanto, fuera de los expresamente previsto</w:t>
      </w:r>
      <w:r w:rsidR="00981FA7" w:rsidRPr="007D73F5">
        <w:rPr>
          <w:rFonts w:ascii="Bookman Old Style" w:hAnsi="Bookman Old Style" w:cs="Arial"/>
          <w:bCs/>
          <w:sz w:val="28"/>
          <w:szCs w:val="28"/>
        </w:rPr>
        <w:t>s</w:t>
      </w:r>
      <w:r w:rsidR="007B0F8A" w:rsidRPr="007D73F5">
        <w:rPr>
          <w:rFonts w:ascii="Bookman Old Style" w:hAnsi="Bookman Old Style" w:cs="Arial"/>
          <w:bCs/>
          <w:sz w:val="28"/>
          <w:szCs w:val="28"/>
        </w:rPr>
        <w:t xml:space="preserve"> en la ley, «</w:t>
      </w:r>
      <w:r w:rsidR="007B0F8A" w:rsidRPr="007D73F5">
        <w:rPr>
          <w:rFonts w:ascii="Bookman Old Style" w:hAnsi="Bookman Old Style" w:cs="Arial"/>
          <w:bCs/>
          <w:i/>
          <w:sz w:val="24"/>
          <w:szCs w:val="24"/>
        </w:rPr>
        <w:t xml:space="preserve">ninguna anomalía contractual </w:t>
      </w:r>
      <w:r w:rsidR="007B0F8A" w:rsidRPr="007D73F5">
        <w:rPr>
          <w:rFonts w:ascii="Bookman Old Style" w:hAnsi="Bookman Old Style" w:cs="Arial"/>
          <w:bCs/>
          <w:i/>
          <w:sz w:val="24"/>
          <w:szCs w:val="24"/>
        </w:rPr>
        <w:lastRenderedPageBreak/>
        <w:t xml:space="preserve">tiene la virtud de provocar tal sanción del negocio jurídico sino un efecto diferente, como podría ser la nulidad relativa o su inoponibilidad» </w:t>
      </w:r>
      <w:r w:rsidR="007B0F8A" w:rsidRPr="007D73F5">
        <w:rPr>
          <w:rFonts w:ascii="Bookman Old Style" w:hAnsi="Bookman Old Style" w:cs="Arial"/>
          <w:bCs/>
          <w:sz w:val="28"/>
          <w:szCs w:val="28"/>
        </w:rPr>
        <w:t>(CSJ. Sent, 15 de agosto de 2016, exp. 1995-9375-01).</w:t>
      </w:r>
      <w:r w:rsidR="00CE2C47" w:rsidRPr="007D73F5">
        <w:rPr>
          <w:rFonts w:ascii="Bookman Old Style" w:hAnsi="Bookman Old Style" w:cs="Arial"/>
          <w:bCs/>
          <w:sz w:val="28"/>
          <w:szCs w:val="28"/>
        </w:rPr>
        <w:t xml:space="preserve"> </w:t>
      </w:r>
    </w:p>
    <w:p w14:paraId="79ECD860" w14:textId="77777777" w:rsidR="003A67DC" w:rsidRDefault="003A67DC" w:rsidP="00E62823">
      <w:pPr>
        <w:pStyle w:val="Subttulo"/>
        <w:jc w:val="both"/>
        <w:rPr>
          <w:rFonts w:ascii="Bookman Old Style" w:hAnsi="Bookman Old Style" w:cs="Arial"/>
          <w:b w:val="0"/>
          <w:sz w:val="28"/>
          <w:szCs w:val="28"/>
        </w:rPr>
      </w:pPr>
    </w:p>
    <w:p w14:paraId="0E35CABF" w14:textId="77777777" w:rsidR="00D80879" w:rsidRPr="000B737C" w:rsidRDefault="0041229F" w:rsidP="00ED1597">
      <w:pPr>
        <w:pStyle w:val="Subttulo"/>
        <w:ind w:firstLine="709"/>
        <w:jc w:val="both"/>
        <w:rPr>
          <w:rFonts w:ascii="Bookman Old Style" w:hAnsi="Bookman Old Style" w:cs="Arial"/>
          <w:b w:val="0"/>
          <w:sz w:val="28"/>
          <w:szCs w:val="28"/>
          <w:u w:val="single"/>
        </w:rPr>
      </w:pPr>
      <w:r>
        <w:rPr>
          <w:rFonts w:ascii="Bookman Old Style" w:hAnsi="Bookman Old Style" w:cs="Arial"/>
          <w:b w:val="0"/>
          <w:sz w:val="28"/>
          <w:szCs w:val="28"/>
        </w:rPr>
        <w:t>10</w:t>
      </w:r>
      <w:r w:rsidR="003D2776">
        <w:rPr>
          <w:rFonts w:ascii="Bookman Old Style" w:hAnsi="Bookman Old Style" w:cs="Arial"/>
          <w:b w:val="0"/>
          <w:sz w:val="28"/>
          <w:szCs w:val="28"/>
        </w:rPr>
        <w:t xml:space="preserve">. </w:t>
      </w:r>
      <w:r w:rsidR="00C61E7C">
        <w:rPr>
          <w:rFonts w:ascii="Bookman Old Style" w:hAnsi="Bookman Old Style" w:cs="Arial"/>
          <w:b w:val="0"/>
          <w:sz w:val="28"/>
          <w:szCs w:val="28"/>
        </w:rPr>
        <w:t>E</w:t>
      </w:r>
      <w:r w:rsidR="008F68D5">
        <w:rPr>
          <w:rFonts w:ascii="Bookman Old Style" w:hAnsi="Bookman Old Style" w:cs="Arial"/>
          <w:b w:val="0"/>
          <w:sz w:val="28"/>
          <w:szCs w:val="28"/>
        </w:rPr>
        <w:t>l artículo 1775 del Código Civil, modificado por el artículo 61 del Decreto</w:t>
      </w:r>
      <w:r w:rsidR="00D9015E">
        <w:rPr>
          <w:rFonts w:ascii="Bookman Old Style" w:hAnsi="Bookman Old Style" w:cs="Arial"/>
          <w:b w:val="0"/>
          <w:sz w:val="28"/>
          <w:szCs w:val="28"/>
        </w:rPr>
        <w:t xml:space="preserve"> 2820 de 1974</w:t>
      </w:r>
      <w:r w:rsidR="00C61E7C">
        <w:rPr>
          <w:rFonts w:ascii="Bookman Old Style" w:hAnsi="Bookman Old Style" w:cs="Arial"/>
          <w:b w:val="0"/>
          <w:sz w:val="28"/>
          <w:szCs w:val="28"/>
        </w:rPr>
        <w:t xml:space="preserve">, faculta a cualquiera de los cónyuges capaces para renunciar a los gananciales que resulten a la disolución de la sociedad conyugal, </w:t>
      </w:r>
      <w:r w:rsidR="00C61E7C" w:rsidRPr="000B737C">
        <w:rPr>
          <w:rFonts w:ascii="Bookman Old Style" w:hAnsi="Bookman Old Style" w:cs="Arial"/>
          <w:b w:val="0"/>
          <w:sz w:val="28"/>
          <w:szCs w:val="28"/>
          <w:u w:val="single"/>
        </w:rPr>
        <w:t xml:space="preserve">pero </w:t>
      </w:r>
      <w:r w:rsidR="009A2324">
        <w:rPr>
          <w:rFonts w:ascii="Bookman Old Style" w:hAnsi="Bookman Old Style" w:cs="Arial"/>
          <w:b w:val="0"/>
          <w:sz w:val="28"/>
          <w:szCs w:val="28"/>
          <w:u w:val="single"/>
        </w:rPr>
        <w:t>«</w:t>
      </w:r>
      <w:r w:rsidR="00C61E7C" w:rsidRPr="009A2324">
        <w:rPr>
          <w:rFonts w:ascii="Bookman Old Style" w:hAnsi="Bookman Old Style" w:cs="Arial"/>
          <w:b w:val="0"/>
          <w:i/>
          <w:iCs/>
          <w:sz w:val="24"/>
          <w:szCs w:val="24"/>
          <w:u w:val="single"/>
        </w:rPr>
        <w:t>sin perjuicio de terceros</w:t>
      </w:r>
      <w:r w:rsidR="009A2324" w:rsidRPr="009A2324">
        <w:rPr>
          <w:rFonts w:ascii="Bookman Old Style" w:hAnsi="Bookman Old Style" w:cs="Arial"/>
          <w:b w:val="0"/>
          <w:i/>
          <w:iCs/>
          <w:sz w:val="24"/>
          <w:szCs w:val="24"/>
          <w:u w:val="single"/>
        </w:rPr>
        <w:t>»</w:t>
      </w:r>
      <w:r w:rsidR="000B737C" w:rsidRPr="009A2324">
        <w:rPr>
          <w:rFonts w:ascii="Bookman Old Style" w:hAnsi="Bookman Old Style" w:cs="Arial"/>
          <w:b w:val="0"/>
          <w:sz w:val="24"/>
          <w:szCs w:val="24"/>
        </w:rPr>
        <w:t xml:space="preserve"> </w:t>
      </w:r>
      <w:r w:rsidR="000B737C">
        <w:rPr>
          <w:rFonts w:ascii="Bookman Old Style" w:hAnsi="Bookman Old Style" w:cs="Arial"/>
          <w:b w:val="0"/>
          <w:sz w:val="28"/>
          <w:szCs w:val="28"/>
        </w:rPr>
        <w:t>(lineado de la Corte).</w:t>
      </w:r>
      <w:r w:rsidR="00E52420" w:rsidRPr="000B737C">
        <w:rPr>
          <w:rFonts w:ascii="Bookman Old Style" w:hAnsi="Bookman Old Style" w:cs="Arial"/>
          <w:b w:val="0"/>
          <w:sz w:val="28"/>
          <w:szCs w:val="28"/>
          <w:u w:val="single"/>
        </w:rPr>
        <w:t xml:space="preserve"> </w:t>
      </w:r>
    </w:p>
    <w:p w14:paraId="40AFBC35" w14:textId="77777777" w:rsidR="003C653D" w:rsidRPr="00EF0709" w:rsidRDefault="003C653D" w:rsidP="00862AAF">
      <w:pPr>
        <w:pStyle w:val="Subttulo"/>
        <w:jc w:val="both"/>
        <w:rPr>
          <w:rFonts w:ascii="Bookman Old Style" w:hAnsi="Bookman Old Style"/>
          <w:b w:val="0"/>
          <w:sz w:val="28"/>
          <w:szCs w:val="28"/>
          <w:bdr w:val="none" w:sz="0" w:space="0" w:color="auto" w:frame="1"/>
        </w:rPr>
      </w:pPr>
    </w:p>
    <w:p w14:paraId="30D40749" w14:textId="77777777" w:rsidR="000A33DC" w:rsidRPr="00862AAF" w:rsidRDefault="0087036C" w:rsidP="00862AAF">
      <w:pPr>
        <w:shd w:val="clear" w:color="auto" w:fill="FFFFFF"/>
        <w:spacing w:line="360" w:lineRule="auto"/>
        <w:ind w:firstLine="709"/>
        <w:jc w:val="both"/>
        <w:rPr>
          <w:rFonts w:ascii="Bookman Old Style" w:hAnsi="Bookman Old Style"/>
          <w:sz w:val="28"/>
          <w:szCs w:val="28"/>
          <w:lang w:val="es-ES_tradnl"/>
        </w:rPr>
      </w:pPr>
      <w:r w:rsidRPr="00EF0709">
        <w:rPr>
          <w:rFonts w:ascii="Bookman Old Style" w:hAnsi="Bookman Old Style"/>
          <w:sz w:val="28"/>
          <w:szCs w:val="28"/>
        </w:rPr>
        <w:t>C</w:t>
      </w:r>
      <w:r w:rsidR="00862AAF">
        <w:rPr>
          <w:rFonts w:ascii="Bookman Old Style" w:hAnsi="Bookman Old Style"/>
          <w:sz w:val="28"/>
          <w:szCs w:val="28"/>
        </w:rPr>
        <w:t>omo se sabe, con</w:t>
      </w:r>
      <w:r w:rsidRPr="00EF0709">
        <w:rPr>
          <w:rFonts w:ascii="Bookman Old Style" w:hAnsi="Bookman Old Style"/>
          <w:sz w:val="28"/>
          <w:szCs w:val="28"/>
        </w:rPr>
        <w:t xml:space="preserve"> el advenimiento</w:t>
      </w:r>
      <w:r w:rsidRPr="00EF0709">
        <w:rPr>
          <w:rFonts w:ascii="Bookman Old Style" w:eastAsia="Times New Roman" w:hAnsi="Bookman Old Style"/>
          <w:sz w:val="28"/>
          <w:szCs w:val="28"/>
          <w:bdr w:val="none" w:sz="0" w:space="0" w:color="auto" w:frame="1"/>
          <w:lang w:val="es-ES_tradnl"/>
        </w:rPr>
        <w:t xml:space="preserve"> de la Ley 28 de 1932 quedaron derogadas todas las normas </w:t>
      </w:r>
      <w:r w:rsidR="00134294" w:rsidRPr="00EF0709">
        <w:rPr>
          <w:rFonts w:ascii="Bookman Old Style" w:eastAsia="Times New Roman" w:hAnsi="Bookman Old Style"/>
          <w:sz w:val="28"/>
          <w:szCs w:val="28"/>
          <w:bdr w:val="none" w:sz="0" w:space="0" w:color="auto" w:frame="1"/>
          <w:lang w:val="es-ES_tradnl"/>
        </w:rPr>
        <w:t>que consagraban la incapacidad de la mujer</w:t>
      </w:r>
      <w:r w:rsidR="00862AAF">
        <w:rPr>
          <w:rFonts w:ascii="Bookman Old Style" w:eastAsia="Times New Roman" w:hAnsi="Bookman Old Style"/>
          <w:sz w:val="28"/>
          <w:szCs w:val="28"/>
          <w:bdr w:val="none" w:sz="0" w:space="0" w:color="auto" w:frame="1"/>
          <w:lang w:val="es-ES_tradnl"/>
        </w:rPr>
        <w:t>.</w:t>
      </w:r>
      <w:r w:rsidR="00134294" w:rsidRPr="00EF0709">
        <w:rPr>
          <w:rFonts w:ascii="Bookman Old Style" w:eastAsia="Times New Roman" w:hAnsi="Bookman Old Style"/>
          <w:sz w:val="28"/>
          <w:szCs w:val="28"/>
          <w:bdr w:val="none" w:sz="0" w:space="0" w:color="auto" w:frame="1"/>
          <w:lang w:val="es-ES_tradnl"/>
        </w:rPr>
        <w:t xml:space="preserve"> </w:t>
      </w:r>
      <w:r w:rsidR="00862AAF">
        <w:rPr>
          <w:rFonts w:ascii="Bookman Old Style" w:eastAsia="Times New Roman" w:hAnsi="Bookman Old Style"/>
          <w:sz w:val="28"/>
          <w:szCs w:val="28"/>
          <w:bdr w:val="none" w:sz="0" w:space="0" w:color="auto" w:frame="1"/>
          <w:lang w:val="es-ES_tradnl"/>
        </w:rPr>
        <w:t>S</w:t>
      </w:r>
      <w:r w:rsidR="00134294" w:rsidRPr="00EF0709">
        <w:rPr>
          <w:rFonts w:ascii="Bookman Old Style" w:eastAsia="Times New Roman" w:hAnsi="Bookman Old Style"/>
          <w:sz w:val="28"/>
          <w:szCs w:val="28"/>
          <w:bdr w:val="none" w:sz="0" w:space="0" w:color="auto" w:frame="1"/>
          <w:lang w:val="es-ES_tradnl"/>
        </w:rPr>
        <w:t>e extinguió la llamada «</w:t>
      </w:r>
      <w:r w:rsidR="00134294" w:rsidRPr="00EF0709">
        <w:rPr>
          <w:rFonts w:ascii="Bookman Old Style" w:eastAsia="Times New Roman" w:hAnsi="Bookman Old Style"/>
          <w:i/>
          <w:sz w:val="28"/>
          <w:szCs w:val="28"/>
          <w:bdr w:val="none" w:sz="0" w:space="0" w:color="auto" w:frame="1"/>
          <w:lang w:val="es-ES_tradnl"/>
        </w:rPr>
        <w:t>potestad marital»</w:t>
      </w:r>
      <w:r w:rsidR="00862AAF">
        <w:rPr>
          <w:rFonts w:ascii="Bookman Old Style" w:eastAsia="Times New Roman" w:hAnsi="Bookman Old Style"/>
          <w:sz w:val="28"/>
          <w:szCs w:val="28"/>
          <w:bdr w:val="none" w:sz="0" w:space="0" w:color="auto" w:frame="1"/>
          <w:lang w:val="es-ES_tradnl"/>
        </w:rPr>
        <w:t>.</w:t>
      </w:r>
      <w:r w:rsidR="00134294" w:rsidRPr="00EF0709">
        <w:rPr>
          <w:rFonts w:ascii="Bookman Old Style" w:eastAsia="Times New Roman" w:hAnsi="Bookman Old Style"/>
          <w:sz w:val="28"/>
          <w:szCs w:val="28"/>
          <w:bdr w:val="none" w:sz="0" w:space="0" w:color="auto" w:frame="1"/>
          <w:lang w:val="es-ES_tradnl"/>
        </w:rPr>
        <w:t xml:space="preserve"> </w:t>
      </w:r>
      <w:r w:rsidR="00862AAF">
        <w:rPr>
          <w:rFonts w:ascii="Bookman Old Style" w:eastAsia="Times New Roman" w:hAnsi="Bookman Old Style"/>
          <w:sz w:val="28"/>
          <w:szCs w:val="28"/>
          <w:bdr w:val="none" w:sz="0" w:space="0" w:color="auto" w:frame="1"/>
          <w:lang w:val="es-ES_tradnl"/>
        </w:rPr>
        <w:t>S</w:t>
      </w:r>
      <w:r w:rsidR="00134294" w:rsidRPr="00EF0709">
        <w:rPr>
          <w:rFonts w:ascii="Bookman Old Style" w:eastAsia="Times New Roman" w:hAnsi="Bookman Old Style"/>
          <w:sz w:val="28"/>
          <w:szCs w:val="28"/>
          <w:bdr w:val="none" w:sz="0" w:space="0" w:color="auto" w:frame="1"/>
          <w:lang w:val="es-ES_tradnl"/>
        </w:rPr>
        <w:t xml:space="preserve">e consagró su </w:t>
      </w:r>
      <w:r w:rsidR="00862AAF" w:rsidRPr="00EF0709">
        <w:rPr>
          <w:rFonts w:ascii="Bookman Old Style" w:eastAsia="Times New Roman" w:hAnsi="Bookman Old Style"/>
          <w:sz w:val="28"/>
          <w:szCs w:val="28"/>
          <w:bdr w:val="none" w:sz="0" w:space="0" w:color="auto" w:frame="1"/>
          <w:lang w:val="es-ES_tradnl"/>
        </w:rPr>
        <w:t>plena capacidad</w:t>
      </w:r>
      <w:r w:rsidR="00134294" w:rsidRPr="00EF0709">
        <w:rPr>
          <w:rFonts w:ascii="Bookman Old Style" w:eastAsia="Times New Roman" w:hAnsi="Bookman Old Style"/>
          <w:sz w:val="28"/>
          <w:szCs w:val="28"/>
          <w:bdr w:val="none" w:sz="0" w:space="0" w:color="auto" w:frame="1"/>
          <w:lang w:val="es-ES_tradnl"/>
        </w:rPr>
        <w:t xml:space="preserve"> civil y judicial</w:t>
      </w:r>
      <w:r w:rsidR="00862AAF">
        <w:rPr>
          <w:rFonts w:ascii="Bookman Old Style" w:eastAsia="Times New Roman" w:hAnsi="Bookman Old Style"/>
          <w:sz w:val="28"/>
          <w:szCs w:val="28"/>
          <w:bdr w:val="none" w:sz="0" w:space="0" w:color="auto" w:frame="1"/>
          <w:lang w:val="es-ES_tradnl"/>
        </w:rPr>
        <w:t>.</w:t>
      </w:r>
      <w:r w:rsidR="00134294" w:rsidRPr="00EF0709">
        <w:rPr>
          <w:rFonts w:ascii="Bookman Old Style" w:eastAsia="Times New Roman" w:hAnsi="Bookman Old Style"/>
          <w:sz w:val="28"/>
          <w:szCs w:val="28"/>
          <w:bdr w:val="none" w:sz="0" w:space="0" w:color="auto" w:frame="1"/>
          <w:lang w:val="es-ES_tradnl"/>
        </w:rPr>
        <w:t xml:space="preserve"> </w:t>
      </w:r>
      <w:r w:rsidR="00557F00" w:rsidRPr="00EF0709">
        <w:rPr>
          <w:rFonts w:ascii="Bookman Old Style" w:eastAsia="Times New Roman" w:hAnsi="Bookman Old Style"/>
          <w:sz w:val="28"/>
          <w:szCs w:val="28"/>
          <w:bdr w:val="none" w:sz="0" w:space="0" w:color="auto" w:frame="1"/>
          <w:lang w:val="es-ES_tradnl"/>
        </w:rPr>
        <w:t>En esa secuencia histórica</w:t>
      </w:r>
      <w:r w:rsidR="00A700A5" w:rsidRPr="00EF0709">
        <w:rPr>
          <w:rFonts w:ascii="Bookman Old Style" w:eastAsia="Times New Roman" w:hAnsi="Bookman Old Style"/>
          <w:sz w:val="28"/>
          <w:szCs w:val="28"/>
          <w:bdr w:val="none" w:sz="0" w:space="0" w:color="auto" w:frame="1"/>
          <w:lang w:val="es-ES_tradnl"/>
        </w:rPr>
        <w:t xml:space="preserve"> se expide el </w:t>
      </w:r>
      <w:r w:rsidR="000A33DC" w:rsidRPr="00EF0709">
        <w:rPr>
          <w:rFonts w:ascii="Bookman Old Style" w:eastAsia="Times New Roman" w:hAnsi="Bookman Old Style"/>
          <w:sz w:val="28"/>
          <w:szCs w:val="28"/>
          <w:bdr w:val="none" w:sz="0" w:space="0" w:color="auto" w:frame="1"/>
          <w:lang w:val="es-ES_tradnl"/>
        </w:rPr>
        <w:t>Decreto 2820 de 1974, cuyo artículo 61 modific</w:t>
      </w:r>
      <w:r w:rsidR="006D2224" w:rsidRPr="00EF0709">
        <w:rPr>
          <w:rFonts w:ascii="Bookman Old Style" w:eastAsia="Times New Roman" w:hAnsi="Bookman Old Style"/>
          <w:sz w:val="28"/>
          <w:szCs w:val="28"/>
          <w:bdr w:val="none" w:sz="0" w:space="0" w:color="auto" w:frame="1"/>
          <w:lang w:val="es-ES_tradnl"/>
        </w:rPr>
        <w:t>ó</w:t>
      </w:r>
      <w:r w:rsidR="000A33DC" w:rsidRPr="00EF0709">
        <w:rPr>
          <w:rFonts w:ascii="Bookman Old Style" w:eastAsia="Times New Roman" w:hAnsi="Bookman Old Style"/>
          <w:sz w:val="28"/>
          <w:szCs w:val="28"/>
          <w:bdr w:val="none" w:sz="0" w:space="0" w:color="auto" w:frame="1"/>
          <w:lang w:val="es-ES_tradnl"/>
        </w:rPr>
        <w:t xml:space="preserve"> el texto del canon 1775, en el sentido de consagrar</w:t>
      </w:r>
      <w:r w:rsidR="003C787A">
        <w:rPr>
          <w:rFonts w:ascii="Bookman Old Style" w:eastAsia="Times New Roman" w:hAnsi="Bookman Old Style"/>
          <w:sz w:val="28"/>
          <w:szCs w:val="28"/>
          <w:bdr w:val="none" w:sz="0" w:space="0" w:color="auto" w:frame="1"/>
          <w:lang w:val="es-ES_tradnl"/>
        </w:rPr>
        <w:t xml:space="preserve">, en favor de </w:t>
      </w:r>
      <w:r w:rsidR="000A33DC" w:rsidRPr="00EF0709">
        <w:rPr>
          <w:rFonts w:ascii="Bookman Old Style" w:eastAsia="Times New Roman" w:hAnsi="Bookman Old Style"/>
          <w:sz w:val="28"/>
          <w:szCs w:val="28"/>
          <w:bdr w:val="none" w:sz="0" w:space="0" w:color="auto" w:frame="1"/>
          <w:lang w:val="es-ES_tradnl"/>
        </w:rPr>
        <w:t>ambos cónyuges</w:t>
      </w:r>
      <w:r w:rsidR="006D2224" w:rsidRPr="00EF0709">
        <w:rPr>
          <w:rFonts w:ascii="Bookman Old Style" w:eastAsia="Times New Roman" w:hAnsi="Bookman Old Style"/>
          <w:sz w:val="28"/>
          <w:szCs w:val="28"/>
          <w:bdr w:val="none" w:sz="0" w:space="0" w:color="auto" w:frame="1"/>
          <w:lang w:val="es-ES_tradnl"/>
        </w:rPr>
        <w:t>,</w:t>
      </w:r>
      <w:r w:rsidR="000A33DC" w:rsidRPr="00EF0709">
        <w:rPr>
          <w:rFonts w:ascii="Bookman Old Style" w:eastAsia="Times New Roman" w:hAnsi="Bookman Old Style"/>
          <w:sz w:val="28"/>
          <w:szCs w:val="28"/>
          <w:bdr w:val="none" w:sz="0" w:space="0" w:color="auto" w:frame="1"/>
          <w:lang w:val="es-ES_tradnl"/>
        </w:rPr>
        <w:t xml:space="preserve"> la facultad </w:t>
      </w:r>
      <w:r w:rsidR="00C33816">
        <w:rPr>
          <w:rFonts w:ascii="Bookman Old Style" w:eastAsia="Times New Roman" w:hAnsi="Bookman Old Style"/>
          <w:sz w:val="28"/>
          <w:szCs w:val="28"/>
          <w:bdr w:val="none" w:sz="0" w:space="0" w:color="auto" w:frame="1"/>
          <w:lang w:val="es-ES_tradnl"/>
        </w:rPr>
        <w:t>de</w:t>
      </w:r>
      <w:r w:rsidR="000A33DC" w:rsidRPr="00EF0709">
        <w:rPr>
          <w:rFonts w:ascii="Bookman Old Style" w:eastAsia="Times New Roman" w:hAnsi="Bookman Old Style"/>
          <w:sz w:val="28"/>
          <w:szCs w:val="28"/>
          <w:bdr w:val="none" w:sz="0" w:space="0" w:color="auto" w:frame="1"/>
          <w:lang w:val="es-ES_tradnl"/>
        </w:rPr>
        <w:t xml:space="preserve"> renunciar a los gananciales</w:t>
      </w:r>
      <w:r w:rsidR="00862AAF">
        <w:rPr>
          <w:rFonts w:ascii="Bookman Old Style" w:eastAsia="Times New Roman" w:hAnsi="Bookman Old Style"/>
          <w:sz w:val="28"/>
          <w:szCs w:val="28"/>
          <w:bdr w:val="none" w:sz="0" w:space="0" w:color="auto" w:frame="1"/>
          <w:lang w:val="es-ES_tradnl"/>
        </w:rPr>
        <w:t>. Por lo demás, se</w:t>
      </w:r>
      <w:r w:rsidR="000A33DC" w:rsidRPr="00EF0709">
        <w:rPr>
          <w:rFonts w:ascii="Bookman Old Style" w:eastAsia="Times New Roman" w:hAnsi="Bookman Old Style"/>
          <w:sz w:val="28"/>
          <w:szCs w:val="28"/>
          <w:bdr w:val="none" w:sz="0" w:space="0" w:color="auto" w:frame="1"/>
          <w:lang w:val="es-ES_tradnl"/>
        </w:rPr>
        <w:t xml:space="preserve"> i</w:t>
      </w:r>
      <w:r w:rsidR="00862AAF">
        <w:rPr>
          <w:rFonts w:ascii="Bookman Old Style" w:eastAsia="Times New Roman" w:hAnsi="Bookman Old Style"/>
          <w:sz w:val="28"/>
          <w:szCs w:val="28"/>
          <w:bdr w:val="none" w:sz="0" w:space="0" w:color="auto" w:frame="1"/>
          <w:lang w:val="es-ES_tradnl"/>
        </w:rPr>
        <w:t>mpuso</w:t>
      </w:r>
      <w:r w:rsidR="000A33DC" w:rsidRPr="00EF0709">
        <w:rPr>
          <w:rFonts w:ascii="Bookman Old Style" w:eastAsia="Times New Roman" w:hAnsi="Bookman Old Style"/>
          <w:sz w:val="28"/>
          <w:szCs w:val="28"/>
          <w:bdr w:val="none" w:sz="0" w:space="0" w:color="auto" w:frame="1"/>
          <w:lang w:val="es-ES_tradnl"/>
        </w:rPr>
        <w:t xml:space="preserve"> un nuevo agregado normativo: </w:t>
      </w:r>
      <w:r w:rsidR="00862AAF">
        <w:rPr>
          <w:rFonts w:ascii="Bookman Old Style" w:eastAsia="Times New Roman" w:hAnsi="Bookman Old Style"/>
          <w:sz w:val="28"/>
          <w:szCs w:val="28"/>
          <w:bdr w:val="none" w:sz="0" w:space="0" w:color="auto" w:frame="1"/>
          <w:lang w:val="es-ES_tradnl"/>
        </w:rPr>
        <w:t>“</w:t>
      </w:r>
      <w:r w:rsidR="000A33DC" w:rsidRPr="00FF3BEE">
        <w:rPr>
          <w:rFonts w:ascii="Bookman Old Style" w:eastAsia="Times New Roman" w:hAnsi="Bookman Old Style"/>
          <w:i/>
          <w:sz w:val="28"/>
          <w:szCs w:val="28"/>
          <w:bdr w:val="none" w:sz="0" w:space="0" w:color="auto" w:frame="1"/>
          <w:lang w:val="es-ES_tradnl"/>
        </w:rPr>
        <w:t>sin perjuicios de terceros</w:t>
      </w:r>
      <w:r w:rsidR="00862AAF">
        <w:rPr>
          <w:rFonts w:ascii="Bookman Old Style" w:eastAsia="Times New Roman" w:hAnsi="Bookman Old Style"/>
          <w:sz w:val="28"/>
          <w:szCs w:val="28"/>
          <w:bdr w:val="none" w:sz="0" w:space="0" w:color="auto" w:frame="1"/>
          <w:lang w:val="es-ES_tradnl"/>
        </w:rPr>
        <w:t xml:space="preserve">.” </w:t>
      </w:r>
    </w:p>
    <w:p w14:paraId="512840AD" w14:textId="77777777" w:rsidR="00301C79" w:rsidRDefault="00301C79" w:rsidP="0087036C">
      <w:pPr>
        <w:shd w:val="clear" w:color="auto" w:fill="FFFFFF"/>
        <w:spacing w:line="360" w:lineRule="auto"/>
        <w:ind w:firstLine="720"/>
        <w:jc w:val="both"/>
        <w:rPr>
          <w:rFonts w:ascii="Bookman Old Style" w:eastAsia="Times New Roman" w:hAnsi="Bookman Old Style"/>
          <w:color w:val="2D2D2D"/>
          <w:sz w:val="28"/>
          <w:szCs w:val="28"/>
          <w:bdr w:val="none" w:sz="0" w:space="0" w:color="auto" w:frame="1"/>
          <w:lang w:val="es-ES_tradnl"/>
        </w:rPr>
      </w:pPr>
    </w:p>
    <w:p w14:paraId="10461FCA" w14:textId="77777777" w:rsidR="00C20F41" w:rsidRDefault="00434BDF" w:rsidP="0087036C">
      <w:pPr>
        <w:shd w:val="clear" w:color="auto" w:fill="FFFFFF"/>
        <w:spacing w:line="360" w:lineRule="auto"/>
        <w:ind w:firstLine="720"/>
        <w:jc w:val="both"/>
        <w:rPr>
          <w:rFonts w:ascii="Bookman Old Style" w:eastAsia="Times New Roman" w:hAnsi="Bookman Old Style"/>
          <w:sz w:val="28"/>
          <w:szCs w:val="28"/>
          <w:bdr w:val="none" w:sz="0" w:space="0" w:color="auto" w:frame="1"/>
          <w:lang w:val="es-ES_tradnl"/>
        </w:rPr>
      </w:pPr>
      <w:r w:rsidRPr="00EF0709">
        <w:rPr>
          <w:rFonts w:ascii="Bookman Old Style" w:eastAsia="Times New Roman" w:hAnsi="Bookman Old Style"/>
          <w:sz w:val="24"/>
          <w:szCs w:val="24"/>
          <w:bdr w:val="none" w:sz="0" w:space="0" w:color="auto" w:frame="1"/>
          <w:lang w:val="es-ES_tradnl"/>
        </w:rPr>
        <w:t xml:space="preserve"> </w:t>
      </w:r>
      <w:r w:rsidRPr="00EF0709">
        <w:rPr>
          <w:rFonts w:ascii="Bookman Old Style" w:eastAsia="Times New Roman" w:hAnsi="Bookman Old Style"/>
          <w:i/>
          <w:sz w:val="24"/>
          <w:szCs w:val="24"/>
          <w:bdr w:val="none" w:sz="0" w:space="0" w:color="auto" w:frame="1"/>
          <w:lang w:val="es-ES_tradnl"/>
        </w:rPr>
        <w:t xml:space="preserve"> </w:t>
      </w:r>
      <w:r w:rsidR="00134294" w:rsidRPr="00EF0709">
        <w:rPr>
          <w:rFonts w:ascii="Bookman Old Style" w:eastAsia="Times New Roman" w:hAnsi="Bookman Old Style"/>
          <w:sz w:val="28"/>
          <w:szCs w:val="28"/>
          <w:bdr w:val="none" w:sz="0" w:space="0" w:color="auto" w:frame="1"/>
          <w:lang w:val="es-ES_tradnl"/>
        </w:rPr>
        <w:t xml:space="preserve"> </w:t>
      </w:r>
      <w:r w:rsidR="00191F13" w:rsidRPr="00EF0709">
        <w:rPr>
          <w:rFonts w:ascii="Bookman Old Style" w:eastAsia="Times New Roman" w:hAnsi="Bookman Old Style"/>
          <w:sz w:val="28"/>
          <w:szCs w:val="28"/>
          <w:bdr w:val="none" w:sz="0" w:space="0" w:color="auto" w:frame="1"/>
          <w:lang w:val="es-ES_tradnl"/>
        </w:rPr>
        <w:t>1</w:t>
      </w:r>
      <w:r w:rsidR="005B3714">
        <w:rPr>
          <w:rFonts w:ascii="Bookman Old Style" w:eastAsia="Times New Roman" w:hAnsi="Bookman Old Style"/>
          <w:sz w:val="28"/>
          <w:szCs w:val="28"/>
          <w:bdr w:val="none" w:sz="0" w:space="0" w:color="auto" w:frame="1"/>
          <w:lang w:val="es-ES_tradnl"/>
        </w:rPr>
        <w:t>1</w:t>
      </w:r>
      <w:r w:rsidR="00191F13" w:rsidRPr="00EF0709">
        <w:rPr>
          <w:rFonts w:ascii="Bookman Old Style" w:eastAsia="Times New Roman" w:hAnsi="Bookman Old Style"/>
          <w:sz w:val="28"/>
          <w:szCs w:val="28"/>
          <w:bdr w:val="none" w:sz="0" w:space="0" w:color="auto" w:frame="1"/>
          <w:lang w:val="es-ES_tradnl"/>
        </w:rPr>
        <w:t xml:space="preserve">. </w:t>
      </w:r>
      <w:r w:rsidR="005B3714">
        <w:rPr>
          <w:rFonts w:ascii="Bookman Old Style" w:eastAsia="Times New Roman" w:hAnsi="Bookman Old Style"/>
          <w:sz w:val="28"/>
          <w:szCs w:val="28"/>
          <w:bdr w:val="none" w:sz="0" w:space="0" w:color="auto" w:frame="1"/>
          <w:lang w:val="es-ES_tradnl"/>
        </w:rPr>
        <w:t>A juicio de la Corte</w:t>
      </w:r>
      <w:r w:rsidR="00E02E3D">
        <w:rPr>
          <w:rFonts w:ascii="Bookman Old Style" w:eastAsia="Times New Roman" w:hAnsi="Bookman Old Style"/>
          <w:sz w:val="28"/>
          <w:szCs w:val="28"/>
          <w:bdr w:val="none" w:sz="0" w:space="0" w:color="auto" w:frame="1"/>
          <w:lang w:val="es-ES_tradnl"/>
        </w:rPr>
        <w:t>,</w:t>
      </w:r>
      <w:r w:rsidR="005B3714">
        <w:rPr>
          <w:rFonts w:ascii="Bookman Old Style" w:eastAsia="Times New Roman" w:hAnsi="Bookman Old Style"/>
          <w:sz w:val="28"/>
          <w:szCs w:val="28"/>
          <w:bdr w:val="none" w:sz="0" w:space="0" w:color="auto" w:frame="1"/>
          <w:lang w:val="es-ES_tradnl"/>
        </w:rPr>
        <w:t xml:space="preserve"> </w:t>
      </w:r>
      <w:r w:rsidR="00191F13" w:rsidRPr="00EF0709">
        <w:rPr>
          <w:rFonts w:ascii="Bookman Old Style" w:eastAsia="Times New Roman" w:hAnsi="Bookman Old Style"/>
          <w:sz w:val="28"/>
          <w:szCs w:val="28"/>
          <w:bdr w:val="none" w:sz="0" w:space="0" w:color="auto" w:frame="1"/>
          <w:lang w:val="es-ES_tradnl"/>
        </w:rPr>
        <w:t>el artículo 1775 del Código Civil contempla un caso típico de inoponibilidad, aspecto que no es objeto de controversia en el presente caso</w:t>
      </w:r>
      <w:r w:rsidR="002C7A58">
        <w:rPr>
          <w:rFonts w:ascii="Bookman Old Style" w:eastAsia="Times New Roman" w:hAnsi="Bookman Old Style"/>
          <w:sz w:val="28"/>
          <w:szCs w:val="28"/>
          <w:bdr w:val="none" w:sz="0" w:space="0" w:color="auto" w:frame="1"/>
          <w:lang w:val="es-ES_tradnl"/>
        </w:rPr>
        <w:t>.</w:t>
      </w:r>
      <w:r w:rsidR="00191F13" w:rsidRPr="00EF0709">
        <w:rPr>
          <w:rFonts w:ascii="Bookman Old Style" w:eastAsia="Times New Roman" w:hAnsi="Bookman Old Style"/>
          <w:sz w:val="28"/>
          <w:szCs w:val="28"/>
          <w:bdr w:val="none" w:sz="0" w:space="0" w:color="auto" w:frame="1"/>
          <w:lang w:val="es-ES_tradnl"/>
        </w:rPr>
        <w:t xml:space="preserve"> </w:t>
      </w:r>
      <w:r w:rsidR="00712599">
        <w:rPr>
          <w:rFonts w:ascii="Bookman Old Style" w:eastAsia="Times New Roman" w:hAnsi="Bookman Old Style"/>
          <w:sz w:val="28"/>
          <w:szCs w:val="28"/>
          <w:bdr w:val="none" w:sz="0" w:space="0" w:color="auto" w:frame="1"/>
          <w:lang w:val="es-ES_tradnl"/>
        </w:rPr>
        <w:t>Empero</w:t>
      </w:r>
      <w:r w:rsidR="00191F13" w:rsidRPr="00EF0709">
        <w:rPr>
          <w:rFonts w:ascii="Bookman Old Style" w:eastAsia="Times New Roman" w:hAnsi="Bookman Old Style"/>
          <w:sz w:val="28"/>
          <w:szCs w:val="28"/>
          <w:bdr w:val="none" w:sz="0" w:space="0" w:color="auto" w:frame="1"/>
          <w:lang w:val="es-ES_tradnl"/>
        </w:rPr>
        <w:t xml:space="preserve">, lo que </w:t>
      </w:r>
      <w:r w:rsidR="005B3714">
        <w:rPr>
          <w:rFonts w:ascii="Bookman Old Style" w:eastAsia="Times New Roman" w:hAnsi="Bookman Old Style"/>
          <w:sz w:val="28"/>
          <w:szCs w:val="28"/>
          <w:bdr w:val="none" w:sz="0" w:space="0" w:color="auto" w:frame="1"/>
          <w:lang w:val="es-ES_tradnl"/>
        </w:rPr>
        <w:t xml:space="preserve">aquí </w:t>
      </w:r>
      <w:r w:rsidR="00712599">
        <w:rPr>
          <w:rFonts w:ascii="Bookman Old Style" w:eastAsia="Times New Roman" w:hAnsi="Bookman Old Style"/>
          <w:sz w:val="28"/>
          <w:szCs w:val="28"/>
          <w:bdr w:val="none" w:sz="0" w:space="0" w:color="auto" w:frame="1"/>
          <w:lang w:val="es-ES_tradnl"/>
        </w:rPr>
        <w:t xml:space="preserve">sí </w:t>
      </w:r>
      <w:r w:rsidR="00191F13" w:rsidRPr="00EF0709">
        <w:rPr>
          <w:rFonts w:ascii="Bookman Old Style" w:eastAsia="Times New Roman" w:hAnsi="Bookman Old Style"/>
          <w:sz w:val="28"/>
          <w:szCs w:val="28"/>
          <w:bdr w:val="none" w:sz="0" w:space="0" w:color="auto" w:frame="1"/>
          <w:lang w:val="es-ES_tradnl"/>
        </w:rPr>
        <w:t xml:space="preserve">se </w:t>
      </w:r>
      <w:r w:rsidR="00C20F41" w:rsidRPr="00EF0709">
        <w:rPr>
          <w:rFonts w:ascii="Bookman Old Style" w:eastAsia="Times New Roman" w:hAnsi="Bookman Old Style"/>
          <w:sz w:val="28"/>
          <w:szCs w:val="28"/>
          <w:bdr w:val="none" w:sz="0" w:space="0" w:color="auto" w:frame="1"/>
          <w:lang w:val="es-ES_tradnl"/>
        </w:rPr>
        <w:t>discute</w:t>
      </w:r>
      <w:r w:rsidR="00191F13" w:rsidRPr="00EF0709">
        <w:rPr>
          <w:rFonts w:ascii="Bookman Old Style" w:eastAsia="Times New Roman" w:hAnsi="Bookman Old Style"/>
          <w:sz w:val="28"/>
          <w:szCs w:val="28"/>
          <w:bdr w:val="none" w:sz="0" w:space="0" w:color="auto" w:frame="1"/>
          <w:lang w:val="es-ES_tradnl"/>
        </w:rPr>
        <w:t xml:space="preserve"> es la comprensión conceptual del término </w:t>
      </w:r>
      <w:r w:rsidR="00191F13" w:rsidRPr="00EF0709">
        <w:rPr>
          <w:rFonts w:ascii="Bookman Old Style" w:eastAsia="Times New Roman" w:hAnsi="Bookman Old Style"/>
          <w:b/>
          <w:sz w:val="28"/>
          <w:szCs w:val="28"/>
          <w:bdr w:val="none" w:sz="0" w:space="0" w:color="auto" w:frame="1"/>
          <w:lang w:val="es-ES_tradnl"/>
        </w:rPr>
        <w:t>tercero</w:t>
      </w:r>
      <w:r w:rsidR="00712599">
        <w:rPr>
          <w:rFonts w:ascii="Bookman Old Style" w:eastAsia="Times New Roman" w:hAnsi="Bookman Old Style"/>
          <w:sz w:val="28"/>
          <w:szCs w:val="28"/>
          <w:bdr w:val="none" w:sz="0" w:space="0" w:color="auto" w:frame="1"/>
          <w:lang w:val="es-ES_tradnl"/>
        </w:rPr>
        <w:t xml:space="preserve">. </w:t>
      </w:r>
    </w:p>
    <w:p w14:paraId="6D3E5448" w14:textId="77777777" w:rsidR="00712599" w:rsidRPr="00EF0709" w:rsidRDefault="00712599" w:rsidP="0087036C">
      <w:pPr>
        <w:shd w:val="clear" w:color="auto" w:fill="FFFFFF"/>
        <w:spacing w:line="360" w:lineRule="auto"/>
        <w:ind w:firstLine="720"/>
        <w:jc w:val="both"/>
        <w:rPr>
          <w:rFonts w:ascii="Bookman Old Style" w:eastAsia="Times New Roman" w:hAnsi="Bookman Old Style"/>
          <w:sz w:val="28"/>
          <w:szCs w:val="28"/>
          <w:bdr w:val="none" w:sz="0" w:space="0" w:color="auto" w:frame="1"/>
          <w:lang w:val="es-ES_tradnl"/>
        </w:rPr>
      </w:pPr>
    </w:p>
    <w:p w14:paraId="0B344E70" w14:textId="77777777" w:rsidR="00134294" w:rsidRPr="00EF0709" w:rsidRDefault="00494DFC" w:rsidP="00712599">
      <w:pPr>
        <w:shd w:val="clear" w:color="auto" w:fill="FFFFFF"/>
        <w:spacing w:line="360" w:lineRule="auto"/>
        <w:ind w:firstLine="720"/>
        <w:jc w:val="both"/>
        <w:rPr>
          <w:rFonts w:ascii="Bookman Old Style" w:eastAsia="Times New Roman" w:hAnsi="Bookman Old Style"/>
          <w:sz w:val="28"/>
          <w:szCs w:val="28"/>
          <w:bdr w:val="none" w:sz="0" w:space="0" w:color="auto" w:frame="1"/>
          <w:lang w:val="es-ES_tradnl"/>
        </w:rPr>
      </w:pPr>
      <w:r w:rsidRPr="00EF0709">
        <w:rPr>
          <w:rFonts w:ascii="Bookman Old Style" w:eastAsia="Times New Roman" w:hAnsi="Bookman Old Style"/>
          <w:sz w:val="28"/>
          <w:szCs w:val="28"/>
          <w:bdr w:val="none" w:sz="0" w:space="0" w:color="auto" w:frame="1"/>
          <w:lang w:val="es-ES_tradnl"/>
        </w:rPr>
        <w:t xml:space="preserve">La </w:t>
      </w:r>
      <w:r w:rsidR="00B427CA">
        <w:rPr>
          <w:rFonts w:ascii="Bookman Old Style" w:eastAsia="Times New Roman" w:hAnsi="Bookman Old Style"/>
          <w:sz w:val="28"/>
          <w:szCs w:val="28"/>
          <w:bdr w:val="none" w:sz="0" w:space="0" w:color="auto" w:frame="1"/>
          <w:lang w:val="es-ES_tradnl"/>
        </w:rPr>
        <w:t>Sala</w:t>
      </w:r>
      <w:r w:rsidR="002C7A58">
        <w:rPr>
          <w:rFonts w:ascii="Bookman Old Style" w:eastAsia="Times New Roman" w:hAnsi="Bookman Old Style"/>
          <w:sz w:val="28"/>
          <w:szCs w:val="28"/>
          <w:bdr w:val="none" w:sz="0" w:space="0" w:color="auto" w:frame="1"/>
          <w:lang w:val="es-ES_tradnl"/>
        </w:rPr>
        <w:t>,</w:t>
      </w:r>
      <w:r w:rsidRPr="00EF0709">
        <w:rPr>
          <w:rFonts w:ascii="Bookman Old Style" w:eastAsia="Times New Roman" w:hAnsi="Bookman Old Style"/>
          <w:sz w:val="28"/>
          <w:szCs w:val="28"/>
          <w:bdr w:val="none" w:sz="0" w:space="0" w:color="auto" w:frame="1"/>
          <w:lang w:val="es-ES_tradnl"/>
        </w:rPr>
        <w:t xml:space="preserve"> en sentencia de 30 de enero de 2006</w:t>
      </w:r>
      <w:r w:rsidR="002C7A58">
        <w:rPr>
          <w:rFonts w:ascii="Bookman Old Style" w:eastAsia="Times New Roman" w:hAnsi="Bookman Old Style"/>
          <w:sz w:val="28"/>
          <w:szCs w:val="28"/>
          <w:bdr w:val="none" w:sz="0" w:space="0" w:color="auto" w:frame="1"/>
          <w:lang w:val="es-ES_tradnl"/>
        </w:rPr>
        <w:t>,</w:t>
      </w:r>
      <w:r w:rsidRPr="00EF0709">
        <w:rPr>
          <w:rFonts w:ascii="Bookman Old Style" w:eastAsia="Times New Roman" w:hAnsi="Bookman Old Style"/>
          <w:sz w:val="28"/>
          <w:szCs w:val="28"/>
          <w:bdr w:val="none" w:sz="0" w:space="0" w:color="auto" w:frame="1"/>
          <w:lang w:val="es-ES_tradnl"/>
        </w:rPr>
        <w:t xml:space="preserve"> realizó un estudio prolijo de la referida situación en un caso de </w:t>
      </w:r>
      <w:r w:rsidR="00662E84">
        <w:rPr>
          <w:rFonts w:ascii="Bookman Old Style" w:eastAsia="Times New Roman" w:hAnsi="Bookman Old Style"/>
          <w:sz w:val="28"/>
          <w:szCs w:val="28"/>
          <w:bdr w:val="none" w:sz="0" w:space="0" w:color="auto" w:frame="1"/>
          <w:lang w:val="es-ES_tradnl"/>
        </w:rPr>
        <w:t>similar</w:t>
      </w:r>
      <w:r w:rsidRPr="00EF0709">
        <w:rPr>
          <w:rFonts w:ascii="Bookman Old Style" w:eastAsia="Times New Roman" w:hAnsi="Bookman Old Style"/>
          <w:sz w:val="28"/>
          <w:szCs w:val="28"/>
          <w:bdr w:val="none" w:sz="0" w:space="0" w:color="auto" w:frame="1"/>
          <w:lang w:val="es-ES_tradnl"/>
        </w:rPr>
        <w:t xml:space="preserve"> temperamento</w:t>
      </w:r>
      <w:r w:rsidR="002C7A58">
        <w:rPr>
          <w:rFonts w:ascii="Bookman Old Style" w:eastAsia="Times New Roman" w:hAnsi="Bookman Old Style"/>
          <w:sz w:val="28"/>
          <w:szCs w:val="28"/>
          <w:bdr w:val="none" w:sz="0" w:space="0" w:color="auto" w:frame="1"/>
          <w:lang w:val="es-ES_tradnl"/>
        </w:rPr>
        <w:t xml:space="preserve">. En tal ocasión, </w:t>
      </w:r>
      <w:r w:rsidRPr="00EF0709">
        <w:rPr>
          <w:rFonts w:ascii="Bookman Old Style" w:eastAsia="Times New Roman" w:hAnsi="Bookman Old Style"/>
          <w:sz w:val="28"/>
          <w:szCs w:val="28"/>
          <w:bdr w:val="none" w:sz="0" w:space="0" w:color="auto" w:frame="1"/>
          <w:lang w:val="es-ES_tradnl"/>
        </w:rPr>
        <w:t xml:space="preserve">se suplicó la </w:t>
      </w:r>
      <w:r w:rsidRPr="00EF0709">
        <w:rPr>
          <w:rFonts w:ascii="Bookman Old Style" w:eastAsia="Times New Roman" w:hAnsi="Bookman Old Style"/>
          <w:sz w:val="28"/>
          <w:szCs w:val="28"/>
          <w:bdr w:val="none" w:sz="0" w:space="0" w:color="auto" w:frame="1"/>
          <w:lang w:val="es-ES_tradnl"/>
        </w:rPr>
        <w:lastRenderedPageBreak/>
        <w:t>inoponibilidad del acto de renuncia de gananciales por parte de un heredero de uno de los cónyuges</w:t>
      </w:r>
      <w:r w:rsidR="00712599">
        <w:rPr>
          <w:rFonts w:ascii="Bookman Old Style" w:eastAsia="Times New Roman" w:hAnsi="Bookman Old Style"/>
          <w:sz w:val="28"/>
          <w:szCs w:val="28"/>
          <w:bdr w:val="none" w:sz="0" w:space="0" w:color="auto" w:frame="1"/>
          <w:lang w:val="es-ES_tradnl"/>
        </w:rPr>
        <w:t xml:space="preserve"> (</w:t>
      </w:r>
      <w:r w:rsidR="002C7A58">
        <w:rPr>
          <w:rFonts w:ascii="Bookman Old Style" w:eastAsia="Times New Roman" w:hAnsi="Bookman Old Style"/>
          <w:sz w:val="28"/>
          <w:szCs w:val="28"/>
          <w:bdr w:val="none" w:sz="0" w:space="0" w:color="auto" w:frame="1"/>
          <w:lang w:val="es-ES_tradnl"/>
        </w:rPr>
        <w:t>quien</w:t>
      </w:r>
      <w:r w:rsidR="00F16E68" w:rsidRPr="00EF0709">
        <w:rPr>
          <w:rFonts w:ascii="Bookman Old Style" w:eastAsia="Times New Roman" w:hAnsi="Bookman Old Style"/>
          <w:sz w:val="28"/>
          <w:szCs w:val="28"/>
          <w:bdr w:val="none" w:sz="0" w:space="0" w:color="auto" w:frame="1"/>
          <w:lang w:val="es-ES_tradnl"/>
        </w:rPr>
        <w:t xml:space="preserve"> arguyó verse afectado por tal </w:t>
      </w:r>
      <w:r w:rsidR="0098149B" w:rsidRPr="00EF0709">
        <w:rPr>
          <w:rFonts w:ascii="Bookman Old Style" w:eastAsia="Times New Roman" w:hAnsi="Bookman Old Style"/>
          <w:sz w:val="28"/>
          <w:szCs w:val="28"/>
          <w:bdr w:val="none" w:sz="0" w:space="0" w:color="auto" w:frame="1"/>
          <w:lang w:val="es-ES_tradnl"/>
        </w:rPr>
        <w:t>hecho</w:t>
      </w:r>
      <w:r w:rsidR="00712599">
        <w:rPr>
          <w:rFonts w:ascii="Bookman Old Style" w:eastAsia="Times New Roman" w:hAnsi="Bookman Old Style"/>
          <w:sz w:val="28"/>
          <w:szCs w:val="28"/>
          <w:bdr w:val="none" w:sz="0" w:space="0" w:color="auto" w:frame="1"/>
          <w:lang w:val="es-ES_tradnl"/>
        </w:rPr>
        <w:t>)</w:t>
      </w:r>
      <w:r w:rsidR="002C7A58">
        <w:rPr>
          <w:rFonts w:ascii="Bookman Old Style" w:eastAsia="Times New Roman" w:hAnsi="Bookman Old Style"/>
          <w:sz w:val="28"/>
          <w:szCs w:val="28"/>
          <w:bdr w:val="none" w:sz="0" w:space="0" w:color="auto" w:frame="1"/>
          <w:lang w:val="es-ES_tradnl"/>
        </w:rPr>
        <w:t>. En aquella oportunidad, s</w:t>
      </w:r>
      <w:r w:rsidR="000F4A39">
        <w:rPr>
          <w:rFonts w:ascii="Bookman Old Style" w:eastAsia="Times New Roman" w:hAnsi="Bookman Old Style"/>
          <w:sz w:val="28"/>
          <w:szCs w:val="28"/>
          <w:bdr w:val="none" w:sz="0" w:space="0" w:color="auto" w:frame="1"/>
          <w:lang w:val="es-ES_tradnl"/>
        </w:rPr>
        <w:t>e</w:t>
      </w:r>
      <w:r w:rsidR="002C7A58">
        <w:rPr>
          <w:rFonts w:ascii="Bookman Old Style" w:eastAsia="Times New Roman" w:hAnsi="Bookman Old Style"/>
          <w:sz w:val="28"/>
          <w:szCs w:val="28"/>
          <w:bdr w:val="none" w:sz="0" w:space="0" w:color="auto" w:frame="1"/>
          <w:lang w:val="es-ES_tradnl"/>
        </w:rPr>
        <w:t xml:space="preserve"> sentenció lo siguiente:</w:t>
      </w:r>
    </w:p>
    <w:p w14:paraId="70B1D0F6" w14:textId="77777777" w:rsidR="00C80D8B" w:rsidRDefault="00C80D8B" w:rsidP="0087036C">
      <w:pPr>
        <w:shd w:val="clear" w:color="auto" w:fill="FFFFFF"/>
        <w:spacing w:line="360" w:lineRule="auto"/>
        <w:ind w:firstLine="720"/>
        <w:jc w:val="both"/>
        <w:rPr>
          <w:rFonts w:ascii="Bookman Old Style" w:eastAsia="Times New Roman" w:hAnsi="Bookman Old Style"/>
          <w:color w:val="2D2D2D"/>
          <w:sz w:val="28"/>
          <w:szCs w:val="28"/>
          <w:bdr w:val="none" w:sz="0" w:space="0" w:color="auto" w:frame="1"/>
          <w:lang w:val="es-ES_tradnl"/>
        </w:rPr>
      </w:pPr>
    </w:p>
    <w:p w14:paraId="70AA68FF" w14:textId="77777777" w:rsidR="0085799E" w:rsidRPr="0085799E" w:rsidRDefault="00F926E3" w:rsidP="0085799E">
      <w:pPr>
        <w:spacing w:line="360" w:lineRule="auto"/>
        <w:ind w:left="709"/>
        <w:jc w:val="both"/>
        <w:rPr>
          <w:rFonts w:ascii="Bookman Old Style" w:hAnsi="Bookman Old Style"/>
          <w:i/>
          <w:sz w:val="24"/>
          <w:szCs w:val="24"/>
        </w:rPr>
      </w:pPr>
      <w:r>
        <w:rPr>
          <w:rFonts w:ascii="Bookman Old Style" w:hAnsi="Bookman Old Style"/>
          <w:i/>
          <w:sz w:val="24"/>
          <w:szCs w:val="24"/>
        </w:rPr>
        <w:t>“</w:t>
      </w:r>
      <w:r w:rsidR="0085799E">
        <w:rPr>
          <w:rFonts w:ascii="Bookman Old Style" w:hAnsi="Bookman Old Style"/>
          <w:i/>
          <w:sz w:val="24"/>
          <w:szCs w:val="24"/>
        </w:rPr>
        <w:t xml:space="preserve">(…) </w:t>
      </w:r>
      <w:r w:rsidR="0085799E" w:rsidRPr="0085799E">
        <w:rPr>
          <w:rFonts w:ascii="Bookman Old Style" w:hAnsi="Bookman Old Style"/>
          <w:i/>
          <w:sz w:val="24"/>
          <w:szCs w:val="24"/>
        </w:rPr>
        <w:t xml:space="preserve">Es común escuchar que tercero es todo aquel que no es parte contratante. Y parte contratante es la que, prestando su consentimiento, convino en el negocio jurídico; en sólo las partes se radican los efectos inmediatos del contrato, convirtiéndose, según el caso, en acreedoras y deudoras. Quien, antes bien, no da asenso en la formación y vida jurídica al negocio, es un tercero; a él, que no es parte, no lo afecta el contrato, ni para bien ni para mal; por consiguiente el contrato celebrado por otros no podrá tornarlo ni en acreedor ni en deudor. Una y otra cosa, en trasunto, habla del afamado principio de la relatividad de los contratos, conocido también con el aforismo </w:t>
      </w:r>
      <w:r w:rsidR="0085799E" w:rsidRPr="0085799E">
        <w:rPr>
          <w:rFonts w:ascii="Bookman Old Style" w:hAnsi="Bookman Old Style"/>
          <w:i/>
          <w:sz w:val="24"/>
          <w:szCs w:val="24"/>
          <w:u w:val="single"/>
        </w:rPr>
        <w:t>res inter allios acta tertio neque nocet neque prodest</w:t>
      </w:r>
      <w:r>
        <w:rPr>
          <w:rFonts w:ascii="Bookman Old Style" w:hAnsi="Bookman Old Style"/>
          <w:i/>
          <w:sz w:val="24"/>
          <w:szCs w:val="24"/>
        </w:rPr>
        <w:t>.</w:t>
      </w:r>
    </w:p>
    <w:p w14:paraId="548AF3C0" w14:textId="77777777" w:rsidR="0085799E" w:rsidRPr="0085799E" w:rsidRDefault="0085799E" w:rsidP="0085799E">
      <w:pPr>
        <w:spacing w:line="360" w:lineRule="auto"/>
        <w:ind w:firstLine="1701"/>
        <w:jc w:val="both"/>
        <w:rPr>
          <w:rFonts w:ascii="Bookman Old Style" w:hAnsi="Bookman Old Style"/>
          <w:i/>
          <w:sz w:val="24"/>
          <w:szCs w:val="24"/>
        </w:rPr>
      </w:pPr>
    </w:p>
    <w:p w14:paraId="71B5E2FD" w14:textId="77777777" w:rsidR="0085799E" w:rsidRPr="0085799E" w:rsidRDefault="0085799E" w:rsidP="00B94BED">
      <w:pPr>
        <w:spacing w:line="360" w:lineRule="auto"/>
        <w:ind w:left="709"/>
        <w:jc w:val="both"/>
        <w:rPr>
          <w:rFonts w:ascii="Bookman Old Style" w:hAnsi="Bookman Old Style"/>
          <w:i/>
          <w:sz w:val="24"/>
          <w:szCs w:val="24"/>
        </w:rPr>
      </w:pPr>
      <w:r w:rsidRPr="0085799E">
        <w:rPr>
          <w:rFonts w:ascii="Bookman Old Style" w:hAnsi="Bookman Old Style"/>
          <w:i/>
          <w:sz w:val="24"/>
          <w:szCs w:val="24"/>
        </w:rPr>
        <w:t xml:space="preserve">Necesario es precisar, sin embargo, que personas hay que sin ser propiamente las celebrantes del negocio, no pueden ser consideradas como absolutamente extrañas al mismo, y por eso los efectos de aquel, sobrevenidas ciertas circunstancias, se radicarán en ellas. Trátase del fenómeno de la causahabiencia, a cuyo estudio se contrae la Corte, habida cuenta que no es tampoco este el lugar para caer en la ingenua y presuntuosa idea de abrazar uno a uno todos los eventos de los terceros. Así que se colma la necesidad de hoy memorando no más terceros que los causahabientes. Y no bien se mencionan éstos, y a punto salta la frase sentenciosa de que quien contrata no sólo lo hace para sí sino también para sus sucesores universales. Porque es verdad irrecusable que quien a este título obra, es el continuador del patrimonio del causante, se identifica con él, le recibe todos los elementos patrimoniales transmisibles, y en consecuencia se </w:t>
      </w:r>
      <w:r w:rsidRPr="0085799E">
        <w:rPr>
          <w:rFonts w:ascii="Bookman Old Style" w:hAnsi="Bookman Old Style"/>
          <w:i/>
          <w:sz w:val="24"/>
          <w:szCs w:val="24"/>
        </w:rPr>
        <w:lastRenderedPageBreak/>
        <w:t xml:space="preserve">torna, incluso sin saberlo, en acreedor o deudor de las relaciones patrimoniales de aquél, salvas apenas algunas excepciones. </w:t>
      </w:r>
    </w:p>
    <w:p w14:paraId="69D206BC" w14:textId="77777777" w:rsidR="0085799E" w:rsidRPr="0085799E" w:rsidRDefault="0085799E" w:rsidP="00B94BED">
      <w:pPr>
        <w:spacing w:line="360" w:lineRule="auto"/>
        <w:ind w:left="709" w:firstLine="709"/>
        <w:jc w:val="both"/>
        <w:rPr>
          <w:rFonts w:ascii="Bookman Old Style" w:hAnsi="Bookman Old Style"/>
          <w:i/>
          <w:sz w:val="24"/>
          <w:szCs w:val="24"/>
        </w:rPr>
      </w:pPr>
    </w:p>
    <w:p w14:paraId="395939D5" w14:textId="77777777" w:rsidR="0085799E" w:rsidRPr="0085799E" w:rsidRDefault="0085799E" w:rsidP="00B94BED">
      <w:pPr>
        <w:spacing w:line="360" w:lineRule="auto"/>
        <w:ind w:left="709"/>
        <w:jc w:val="both"/>
        <w:rPr>
          <w:rFonts w:ascii="Bookman Old Style" w:hAnsi="Bookman Old Style"/>
          <w:i/>
          <w:sz w:val="24"/>
          <w:szCs w:val="24"/>
        </w:rPr>
      </w:pPr>
      <w:r w:rsidRPr="0085799E">
        <w:rPr>
          <w:rFonts w:ascii="Bookman Old Style" w:hAnsi="Bookman Old Style"/>
          <w:i/>
          <w:sz w:val="24"/>
          <w:szCs w:val="24"/>
        </w:rPr>
        <w:t xml:space="preserve">Vistas desde este ángulo las cosas, entonces, los herederos a ese título no son literalmente terceros, desde luego que sobrevenida la muerte del autor del contrato, inmediatamente ocupan allí su lugar. Entran a derechas en el contrato. </w:t>
      </w:r>
    </w:p>
    <w:p w14:paraId="2F0C6A8F" w14:textId="77777777" w:rsidR="0085799E" w:rsidRPr="0085799E" w:rsidRDefault="0085799E" w:rsidP="00612EAB">
      <w:pPr>
        <w:spacing w:line="360" w:lineRule="auto"/>
        <w:ind w:left="709" w:firstLine="709"/>
        <w:jc w:val="both"/>
        <w:rPr>
          <w:rFonts w:ascii="Bookman Old Style" w:hAnsi="Bookman Old Style"/>
          <w:i/>
          <w:sz w:val="24"/>
          <w:szCs w:val="24"/>
        </w:rPr>
      </w:pPr>
    </w:p>
    <w:p w14:paraId="0A60C30C" w14:textId="77777777" w:rsidR="0085799E" w:rsidRPr="0085799E" w:rsidRDefault="0085799E" w:rsidP="000177EB">
      <w:pPr>
        <w:spacing w:line="360" w:lineRule="auto"/>
        <w:ind w:left="709"/>
        <w:jc w:val="both"/>
        <w:rPr>
          <w:rFonts w:ascii="Bookman Old Style" w:hAnsi="Bookman Old Style"/>
          <w:i/>
          <w:sz w:val="24"/>
          <w:szCs w:val="24"/>
        </w:rPr>
      </w:pPr>
      <w:r w:rsidRPr="0085799E">
        <w:rPr>
          <w:rFonts w:ascii="Bookman Old Style" w:hAnsi="Bookman Old Style"/>
          <w:i/>
          <w:sz w:val="24"/>
          <w:szCs w:val="24"/>
        </w:rPr>
        <w:t>Con todo, cabe una distinción. Recuérdese que el anterior colofón ha partido de una premisa ineluctable cual es la de que se trate de cosas que el heredero ha recibido del causante, o sea de las que pueden ser objeto de transmisión por causa de muerte. Para decirlo en breve, de cosas que vienen en el patrimonio dejado por el causante. Porque hay derechos que surgen de la condición misma de heredero y que, por ende, el causante no ha podido transmitirle. Tal el derecho que él tiene a ciertas asignaciones forzosas. Si un contrato celebrado por su causante -por caso el de donación- hiere su derecho, velando por su interés propio estará tentado a hostigar la eficacia y el alcance de convención semejante. En tal caso no habla en el puesto del causante; habla para sí propio. Sucederá de este modo cuando por ejemplo el testamento, cuyo autor obviamente es el causante, maltrate su derecho. Dirá que esa manifestación de voluntad pasó de largo ante ciertos límites, y que por lo tanto se la considere ineficaz en cuanto a lo suyo. Y así podrían citarse otras eventualidades. Lo importante es resaltar que en ocurrencias semejantes el heredero se coloca no en el contrato sino por fuera del mismo, porque juzga que enturbia sus derechos, perspectiva desde la cual es perfectamente válido afirmar que entonces fungirá de tercero.</w:t>
      </w:r>
    </w:p>
    <w:p w14:paraId="3D2767B2" w14:textId="77777777" w:rsidR="0085799E" w:rsidRPr="0085799E" w:rsidRDefault="0085799E" w:rsidP="0085799E">
      <w:pPr>
        <w:spacing w:line="360" w:lineRule="auto"/>
        <w:ind w:firstLine="1701"/>
        <w:jc w:val="both"/>
        <w:rPr>
          <w:rFonts w:ascii="Bookman Old Style" w:hAnsi="Bookman Old Style"/>
          <w:i/>
          <w:sz w:val="24"/>
          <w:szCs w:val="24"/>
        </w:rPr>
      </w:pPr>
    </w:p>
    <w:p w14:paraId="2BC1E451" w14:textId="77777777" w:rsidR="0085799E" w:rsidRPr="0085799E" w:rsidRDefault="0085799E" w:rsidP="00A0349F">
      <w:pPr>
        <w:spacing w:line="360" w:lineRule="auto"/>
        <w:ind w:left="709"/>
        <w:jc w:val="both"/>
        <w:rPr>
          <w:rFonts w:ascii="Bookman Old Style" w:hAnsi="Bookman Old Style"/>
          <w:i/>
          <w:sz w:val="24"/>
          <w:szCs w:val="24"/>
        </w:rPr>
      </w:pPr>
      <w:r w:rsidRPr="0085799E">
        <w:rPr>
          <w:rFonts w:ascii="Bookman Old Style" w:hAnsi="Bookman Old Style"/>
          <w:i/>
          <w:sz w:val="24"/>
          <w:szCs w:val="24"/>
        </w:rPr>
        <w:t xml:space="preserve">Y sin más tardanza es propio adelantarlo de una vez. No otra cosa es la que sucede cuando, como aquí, cuestiona la renuncia de gananciales. Sin dubitación de ningún género se trata de un tercero, y como tal encaja dentro de los que menciona el artículo 1775 del código civil. Por supuesto que también en esta ocasión </w:t>
      </w:r>
      <w:r w:rsidRPr="0085799E">
        <w:rPr>
          <w:rFonts w:ascii="Bookman Old Style" w:hAnsi="Bookman Old Style"/>
          <w:i/>
          <w:sz w:val="24"/>
          <w:szCs w:val="24"/>
        </w:rPr>
        <w:lastRenderedPageBreak/>
        <w:t>está velando por su propio derecho, el de las asignaciones forzosas.</w:t>
      </w:r>
    </w:p>
    <w:p w14:paraId="4860CA4C" w14:textId="77777777" w:rsidR="0085799E" w:rsidRPr="0085799E" w:rsidRDefault="0085799E" w:rsidP="0085799E">
      <w:pPr>
        <w:spacing w:line="360" w:lineRule="auto"/>
        <w:ind w:firstLine="1701"/>
        <w:jc w:val="both"/>
        <w:rPr>
          <w:rFonts w:ascii="Bookman Old Style" w:hAnsi="Bookman Old Style"/>
          <w:i/>
          <w:sz w:val="24"/>
          <w:szCs w:val="24"/>
        </w:rPr>
      </w:pPr>
    </w:p>
    <w:p w14:paraId="443D9B67" w14:textId="77777777" w:rsidR="0085799E" w:rsidRPr="0085799E" w:rsidRDefault="0085799E" w:rsidP="00EA502A">
      <w:pPr>
        <w:spacing w:line="360" w:lineRule="auto"/>
        <w:ind w:left="709"/>
        <w:jc w:val="both"/>
        <w:rPr>
          <w:rFonts w:ascii="Bookman Old Style" w:hAnsi="Bookman Old Style"/>
          <w:i/>
          <w:sz w:val="24"/>
          <w:szCs w:val="24"/>
        </w:rPr>
      </w:pPr>
      <w:r w:rsidRPr="0085799E">
        <w:rPr>
          <w:rFonts w:ascii="Bookman Old Style" w:hAnsi="Bookman Old Style"/>
          <w:i/>
          <w:sz w:val="24"/>
          <w:szCs w:val="24"/>
        </w:rPr>
        <w:t>Sabiéndose que bien puede hacer las veces de tercero, los interrogantes que ahora siguen, admiten la siguiente formulación: ¿qué tanto derecho le asiste a los hijos para cuestionar a sus padres el derecho de renunciar a los gananciales? ¿Hay que rehusar tamaña interferencia en el libre ejercicio de un derecho? ¿Qué tanto éxito podrá tener el hijo si es que se trata de un negocio realizado cuando aún no era él heredero?</w:t>
      </w:r>
    </w:p>
    <w:p w14:paraId="0A7F9770" w14:textId="77777777" w:rsidR="0085799E" w:rsidRPr="0085799E" w:rsidRDefault="0085799E" w:rsidP="00EA502A">
      <w:pPr>
        <w:spacing w:line="360" w:lineRule="auto"/>
        <w:ind w:left="709" w:firstLine="1701"/>
        <w:jc w:val="both"/>
        <w:rPr>
          <w:rFonts w:ascii="Bookman Old Style" w:hAnsi="Bookman Old Style"/>
          <w:i/>
          <w:sz w:val="24"/>
          <w:szCs w:val="24"/>
        </w:rPr>
      </w:pPr>
    </w:p>
    <w:p w14:paraId="5BE14F12" w14:textId="77777777" w:rsidR="002B0071" w:rsidRDefault="0085799E" w:rsidP="00A04218">
      <w:pPr>
        <w:shd w:val="clear" w:color="auto" w:fill="FFFFFF"/>
        <w:spacing w:line="360" w:lineRule="auto"/>
        <w:ind w:left="709"/>
        <w:jc w:val="both"/>
        <w:rPr>
          <w:rFonts w:ascii="Bookman Old Style" w:hAnsi="Bookman Old Style"/>
          <w:i/>
          <w:sz w:val="24"/>
          <w:szCs w:val="24"/>
        </w:rPr>
      </w:pPr>
      <w:r w:rsidRPr="0085799E">
        <w:rPr>
          <w:rFonts w:ascii="Bookman Old Style" w:hAnsi="Bookman Old Style"/>
          <w:i/>
          <w:sz w:val="24"/>
          <w:szCs w:val="24"/>
        </w:rPr>
        <w:t>Bien cierto es que en vida del causante nadie puede considerarse heredero. Más aún: si valiéndose de una condición que aún no tiene, pasare por ejemplo a negociar el derecho que de allí emana, consid</w:t>
      </w:r>
      <w:r w:rsidR="00EE35D6">
        <w:rPr>
          <w:rFonts w:ascii="Bookman Old Style" w:hAnsi="Bookman Old Style"/>
          <w:i/>
          <w:sz w:val="24"/>
          <w:szCs w:val="24"/>
        </w:rPr>
        <w:t>e</w:t>
      </w:r>
      <w:r w:rsidRPr="0085799E">
        <w:rPr>
          <w:rFonts w:ascii="Bookman Old Style" w:hAnsi="Bookman Old Style"/>
          <w:i/>
          <w:sz w:val="24"/>
          <w:szCs w:val="24"/>
        </w:rPr>
        <w:t>rase un obrar ilícito (artículo 1520 del código civil). Fuerza es convenir así que por entonces el derecho a la herencia no pasa de ser una expectativa y así es natural que se diga todo lo que en el punto es corriente escuchar. Pero, en adquiriendo esa calidad, el asunto cambia de tonalidad; ha dejado de ser una eventualidad para adquirir ribetes concretos con algunas consecuencias jurídicas. Se ha materializado un derecho a la herencia, a lo menos en cuanto a las asignaciones obligadas. De lo contrario no sería admitido que el heredero cuestionase la simulación de un negocio que en vida celebró el causante; y hasta ahora nadie le ha endilgado que al tiempo del contrato no tenía sino una mera expectativa. Todo porque hay consenso, así sea tácito, de que los derechos hereditarios no es materia que quede por entero a merced del causante; y que, como todo derecho legítimo, demanda alguna protección. Es razonable, por un lado, que se respete el derecho que toda persona tiene sobre su patrimonio, como que, después de todo es un atributo de la personalidad que debe estar en grande estima.</w:t>
      </w:r>
    </w:p>
    <w:p w14:paraId="6DA345E5" w14:textId="77777777" w:rsidR="00573DC8" w:rsidRDefault="00573DC8" w:rsidP="00A04218">
      <w:pPr>
        <w:shd w:val="clear" w:color="auto" w:fill="FFFFFF"/>
        <w:spacing w:line="360" w:lineRule="auto"/>
        <w:ind w:left="709"/>
        <w:jc w:val="both"/>
        <w:rPr>
          <w:rFonts w:ascii="Bookman Old Style" w:hAnsi="Bookman Old Style"/>
          <w:i/>
          <w:sz w:val="24"/>
          <w:szCs w:val="24"/>
        </w:rPr>
      </w:pPr>
    </w:p>
    <w:p w14:paraId="2BBD52A9" w14:textId="77777777" w:rsidR="00573DC8" w:rsidRDefault="00573DC8" w:rsidP="00A04218">
      <w:pPr>
        <w:shd w:val="clear" w:color="auto" w:fill="FFFFFF"/>
        <w:spacing w:line="360" w:lineRule="auto"/>
        <w:ind w:left="709"/>
        <w:jc w:val="both"/>
        <w:rPr>
          <w:rFonts w:ascii="Bookman Old Style" w:hAnsi="Bookman Old Style"/>
          <w:i/>
          <w:sz w:val="24"/>
          <w:szCs w:val="24"/>
        </w:rPr>
      </w:pPr>
      <w:r>
        <w:rPr>
          <w:rFonts w:ascii="Bookman Old Style" w:hAnsi="Bookman Old Style"/>
          <w:i/>
          <w:sz w:val="24"/>
          <w:szCs w:val="24"/>
        </w:rPr>
        <w:t>(…)</w:t>
      </w:r>
    </w:p>
    <w:p w14:paraId="1918E999" w14:textId="77777777" w:rsidR="00573DC8" w:rsidRDefault="00573DC8" w:rsidP="00A04218">
      <w:pPr>
        <w:shd w:val="clear" w:color="auto" w:fill="FFFFFF"/>
        <w:spacing w:line="360" w:lineRule="auto"/>
        <w:ind w:left="709"/>
        <w:jc w:val="both"/>
        <w:rPr>
          <w:rFonts w:ascii="Bookman Old Style" w:hAnsi="Bookman Old Style"/>
          <w:i/>
          <w:sz w:val="24"/>
          <w:szCs w:val="24"/>
        </w:rPr>
      </w:pPr>
    </w:p>
    <w:p w14:paraId="6BC66201" w14:textId="77777777" w:rsidR="008C6580" w:rsidRDefault="000E5ACA" w:rsidP="00FC5AD1">
      <w:pPr>
        <w:pStyle w:val="Subttulo"/>
        <w:ind w:left="709"/>
        <w:jc w:val="both"/>
        <w:rPr>
          <w:rFonts w:ascii="Bookman Old Style" w:hAnsi="Bookman Old Style"/>
          <w:b w:val="0"/>
          <w:i/>
          <w:sz w:val="24"/>
          <w:szCs w:val="24"/>
        </w:rPr>
      </w:pPr>
      <w:r w:rsidRPr="000E5ACA">
        <w:rPr>
          <w:rFonts w:ascii="Bookman Old Style" w:hAnsi="Bookman Old Style"/>
          <w:b w:val="0"/>
          <w:i/>
          <w:sz w:val="24"/>
          <w:szCs w:val="24"/>
        </w:rPr>
        <w:lastRenderedPageBreak/>
        <w:t>El respeto al derecho de los legitimarios no es, pues, una disposición fruto del azar ni del capricho; antes bien, fue el fruto sazonado de la más ardua controversia filosófica y jurídica. Que la libertad del hombre para distribuir sus bienes conozca ciertos límites, es la opinión más aceptada en el mundo. No puede tolerarse entonces que por rutas más o menos expeditas sea él arrebatado. No valdría argüir a esto que así y todo sólo cabría admitirlo para la hora de testar, que al fin es una manifestación de voluntad llamada a tener cumplido efecto cuando la persona ya no está; pero que no puede extenderse a negocios que en vida celebren los padres, como lo es el de la renuncia a gananciales, puesto que ahí en ese momento ni posible es hablar de herencia y mucho menos de asignatarios forzosos</w:t>
      </w:r>
      <w:r w:rsidR="00F926E3">
        <w:rPr>
          <w:rFonts w:ascii="Bookman Old Style" w:hAnsi="Bookman Old Style"/>
          <w:b w:val="0"/>
          <w:i/>
          <w:sz w:val="24"/>
          <w:szCs w:val="24"/>
        </w:rPr>
        <w:t>”.</w:t>
      </w:r>
    </w:p>
    <w:p w14:paraId="34AAAEE2" w14:textId="77777777" w:rsidR="00073B88" w:rsidRDefault="00073B88" w:rsidP="00FC5AD1">
      <w:pPr>
        <w:pStyle w:val="Subttulo"/>
        <w:ind w:left="709"/>
        <w:jc w:val="both"/>
        <w:rPr>
          <w:rFonts w:ascii="Bookman Old Style" w:hAnsi="Bookman Old Style"/>
          <w:b w:val="0"/>
          <w:i/>
          <w:sz w:val="24"/>
          <w:szCs w:val="24"/>
        </w:rPr>
      </w:pPr>
    </w:p>
    <w:p w14:paraId="1303EAF2" w14:textId="77777777" w:rsidR="003060B9" w:rsidRPr="00EF0709" w:rsidRDefault="00E67BAC" w:rsidP="003060B9">
      <w:pPr>
        <w:pStyle w:val="Subttulo"/>
        <w:ind w:firstLine="709"/>
        <w:jc w:val="both"/>
        <w:rPr>
          <w:rFonts w:ascii="Bookman Old Style" w:hAnsi="Bookman Old Style"/>
          <w:b w:val="0"/>
          <w:sz w:val="28"/>
          <w:szCs w:val="28"/>
          <w:bdr w:val="none" w:sz="0" w:space="0" w:color="auto" w:frame="1"/>
        </w:rPr>
      </w:pPr>
      <w:r w:rsidRPr="00EF0709">
        <w:rPr>
          <w:rFonts w:ascii="Bookman Old Style" w:hAnsi="Bookman Old Style"/>
          <w:b w:val="0"/>
          <w:sz w:val="28"/>
          <w:szCs w:val="28"/>
          <w:bdr w:val="none" w:sz="0" w:space="0" w:color="auto" w:frame="1"/>
        </w:rPr>
        <w:t>1</w:t>
      </w:r>
      <w:r w:rsidR="00FF427D">
        <w:rPr>
          <w:rFonts w:ascii="Bookman Old Style" w:hAnsi="Bookman Old Style"/>
          <w:b w:val="0"/>
          <w:sz w:val="28"/>
          <w:szCs w:val="28"/>
          <w:bdr w:val="none" w:sz="0" w:space="0" w:color="auto" w:frame="1"/>
        </w:rPr>
        <w:t>2</w:t>
      </w:r>
      <w:r w:rsidRPr="00EF0709">
        <w:rPr>
          <w:rFonts w:ascii="Bookman Old Style" w:hAnsi="Bookman Old Style"/>
          <w:b w:val="0"/>
          <w:sz w:val="28"/>
          <w:szCs w:val="28"/>
          <w:bdr w:val="none" w:sz="0" w:space="0" w:color="auto" w:frame="1"/>
        </w:rPr>
        <w:t xml:space="preserve">. </w:t>
      </w:r>
      <w:r w:rsidR="003060B9" w:rsidRPr="00EF0709">
        <w:rPr>
          <w:rFonts w:ascii="Bookman Old Style" w:hAnsi="Bookman Old Style"/>
          <w:b w:val="0"/>
          <w:sz w:val="28"/>
          <w:szCs w:val="28"/>
          <w:bdr w:val="none" w:sz="0" w:space="0" w:color="auto" w:frame="1"/>
        </w:rPr>
        <w:t>El Tribunal</w:t>
      </w:r>
      <w:r w:rsidR="00F926E3">
        <w:rPr>
          <w:rFonts w:ascii="Bookman Old Style" w:hAnsi="Bookman Old Style"/>
          <w:b w:val="0"/>
          <w:sz w:val="28"/>
          <w:szCs w:val="28"/>
          <w:bdr w:val="none" w:sz="0" w:space="0" w:color="auto" w:frame="1"/>
        </w:rPr>
        <w:t>,</w:t>
      </w:r>
      <w:r w:rsidR="003060B9" w:rsidRPr="00EF0709">
        <w:rPr>
          <w:rFonts w:ascii="Bookman Old Style" w:hAnsi="Bookman Old Style"/>
          <w:b w:val="0"/>
          <w:sz w:val="28"/>
          <w:szCs w:val="28"/>
          <w:bdr w:val="none" w:sz="0" w:space="0" w:color="auto" w:frame="1"/>
        </w:rPr>
        <w:t xml:space="preserve"> </w:t>
      </w:r>
      <w:r w:rsidR="007E73F4">
        <w:rPr>
          <w:rFonts w:ascii="Bookman Old Style" w:hAnsi="Bookman Old Style"/>
          <w:b w:val="0"/>
          <w:sz w:val="28"/>
          <w:szCs w:val="28"/>
          <w:bdr w:val="none" w:sz="0" w:space="0" w:color="auto" w:frame="1"/>
        </w:rPr>
        <w:t>al examinar la calidad con que actuó el actor</w:t>
      </w:r>
      <w:r w:rsidR="002C7A58">
        <w:rPr>
          <w:rFonts w:ascii="Bookman Old Style" w:hAnsi="Bookman Old Style"/>
          <w:b w:val="0"/>
          <w:sz w:val="28"/>
          <w:szCs w:val="28"/>
          <w:bdr w:val="none" w:sz="0" w:space="0" w:color="auto" w:frame="1"/>
        </w:rPr>
        <w:t>,</w:t>
      </w:r>
      <w:r w:rsidR="007E73F4">
        <w:rPr>
          <w:rFonts w:ascii="Bookman Old Style" w:hAnsi="Bookman Old Style"/>
          <w:b w:val="0"/>
          <w:sz w:val="28"/>
          <w:szCs w:val="28"/>
          <w:bdr w:val="none" w:sz="0" w:space="0" w:color="auto" w:frame="1"/>
        </w:rPr>
        <w:t xml:space="preserve"> </w:t>
      </w:r>
      <w:r w:rsidR="003060B9" w:rsidRPr="00EF0709">
        <w:rPr>
          <w:rFonts w:ascii="Bookman Old Style" w:hAnsi="Bookman Old Style"/>
          <w:b w:val="0"/>
          <w:sz w:val="28"/>
          <w:szCs w:val="28"/>
          <w:bdr w:val="none" w:sz="0" w:space="0" w:color="auto" w:frame="1"/>
        </w:rPr>
        <w:t>se limitó a indicar que en el evento</w:t>
      </w:r>
      <w:r w:rsidR="007E73F4">
        <w:rPr>
          <w:rFonts w:ascii="Bookman Old Style" w:hAnsi="Bookman Old Style"/>
          <w:b w:val="0"/>
          <w:sz w:val="28"/>
          <w:szCs w:val="28"/>
          <w:bdr w:val="none" w:sz="0" w:space="0" w:color="auto" w:frame="1"/>
        </w:rPr>
        <w:t xml:space="preserve"> sentenciado</w:t>
      </w:r>
      <w:r w:rsidR="0025083D">
        <w:rPr>
          <w:rFonts w:ascii="Bookman Old Style" w:hAnsi="Bookman Old Style"/>
          <w:b w:val="0"/>
          <w:sz w:val="28"/>
          <w:szCs w:val="28"/>
          <w:bdr w:val="none" w:sz="0" w:space="0" w:color="auto" w:frame="1"/>
        </w:rPr>
        <w:t xml:space="preserve"> </w:t>
      </w:r>
      <w:r w:rsidR="00100C1E">
        <w:rPr>
          <w:rFonts w:ascii="Bookman Old Style" w:hAnsi="Bookman Old Style"/>
          <w:b w:val="0"/>
          <w:sz w:val="28"/>
          <w:szCs w:val="28"/>
          <w:bdr w:val="none" w:sz="0" w:space="0" w:color="auto" w:frame="1"/>
        </w:rPr>
        <w:t>«</w:t>
      </w:r>
      <w:r w:rsidR="003060B9" w:rsidRPr="00100C1E">
        <w:rPr>
          <w:rFonts w:ascii="Bookman Old Style" w:hAnsi="Bookman Old Style"/>
          <w:b w:val="0"/>
          <w:i/>
          <w:sz w:val="24"/>
          <w:szCs w:val="24"/>
          <w:bdr w:val="none" w:sz="0" w:space="0" w:color="auto" w:frame="1"/>
        </w:rPr>
        <w:t>el demandante no era exactamente tercero</w:t>
      </w:r>
      <w:r w:rsidR="00100C1E">
        <w:rPr>
          <w:rFonts w:ascii="Bookman Old Style" w:hAnsi="Bookman Old Style"/>
          <w:b w:val="0"/>
          <w:i/>
          <w:sz w:val="24"/>
          <w:szCs w:val="24"/>
          <w:bdr w:val="none" w:sz="0" w:space="0" w:color="auto" w:frame="1"/>
        </w:rPr>
        <w:t>, pues</w:t>
      </w:r>
      <w:r w:rsidR="003060B9" w:rsidRPr="00100C1E">
        <w:rPr>
          <w:rFonts w:ascii="Bookman Old Style" w:hAnsi="Bookman Old Style"/>
          <w:b w:val="0"/>
          <w:i/>
          <w:sz w:val="24"/>
          <w:szCs w:val="24"/>
          <w:bdr w:val="none" w:sz="0" w:space="0" w:color="auto" w:frame="1"/>
        </w:rPr>
        <w:t xml:space="preserve"> su condición de heredero, lo pone en el puesto del causante, como uno de los continuadores de su personalidad</w:t>
      </w:r>
      <w:r w:rsidR="000661DF">
        <w:rPr>
          <w:rFonts w:ascii="Bookman Old Style" w:hAnsi="Bookman Old Style"/>
          <w:b w:val="0"/>
          <w:i/>
          <w:sz w:val="24"/>
          <w:szCs w:val="24"/>
          <w:bdr w:val="none" w:sz="0" w:space="0" w:color="auto" w:frame="1"/>
        </w:rPr>
        <w:t>.</w:t>
      </w:r>
      <w:r w:rsidR="003060B9" w:rsidRPr="00100C1E">
        <w:rPr>
          <w:rFonts w:ascii="Bookman Old Style" w:hAnsi="Bookman Old Style"/>
          <w:b w:val="0"/>
          <w:i/>
          <w:sz w:val="24"/>
          <w:szCs w:val="24"/>
          <w:bdr w:val="none" w:sz="0" w:space="0" w:color="auto" w:frame="1"/>
        </w:rPr>
        <w:t xml:space="preserve"> </w:t>
      </w:r>
      <w:r w:rsidR="000661DF">
        <w:rPr>
          <w:rFonts w:ascii="Bookman Old Style" w:hAnsi="Bookman Old Style"/>
          <w:b w:val="0"/>
          <w:i/>
          <w:sz w:val="24"/>
          <w:szCs w:val="24"/>
          <w:bdr w:val="none" w:sz="0" w:space="0" w:color="auto" w:frame="1"/>
        </w:rPr>
        <w:t>De otro lado,</w:t>
      </w:r>
      <w:r w:rsidR="003060B9" w:rsidRPr="00100C1E">
        <w:rPr>
          <w:rFonts w:ascii="Bookman Old Style" w:hAnsi="Bookman Old Style"/>
          <w:b w:val="0"/>
          <w:i/>
          <w:sz w:val="24"/>
          <w:szCs w:val="24"/>
          <w:bdr w:val="none" w:sz="0" w:space="0" w:color="auto" w:frame="1"/>
        </w:rPr>
        <w:t xml:space="preserve"> del negocio no se derivan obligaciones para el </w:t>
      </w:r>
      <w:r w:rsidR="000661DF">
        <w:rPr>
          <w:rFonts w:ascii="Bookman Old Style" w:hAnsi="Bookman Old Style"/>
          <w:b w:val="0"/>
          <w:i/>
          <w:sz w:val="24"/>
          <w:szCs w:val="24"/>
          <w:bdr w:val="none" w:sz="0" w:space="0" w:color="auto" w:frame="1"/>
        </w:rPr>
        <w:t>demandante</w:t>
      </w:r>
      <w:r w:rsidR="003060B9" w:rsidRPr="00100C1E">
        <w:rPr>
          <w:rFonts w:ascii="Bookman Old Style" w:hAnsi="Bookman Old Style"/>
          <w:b w:val="0"/>
          <w:i/>
          <w:sz w:val="24"/>
          <w:szCs w:val="24"/>
          <w:bdr w:val="none" w:sz="0" w:space="0" w:color="auto" w:frame="1"/>
        </w:rPr>
        <w:t>, como para que él</w:t>
      </w:r>
      <w:r w:rsidR="00913A0C" w:rsidRPr="00100C1E">
        <w:rPr>
          <w:rFonts w:ascii="Bookman Old Style" w:hAnsi="Bookman Old Style"/>
          <w:b w:val="0"/>
          <w:i/>
          <w:sz w:val="24"/>
          <w:szCs w:val="24"/>
          <w:bdr w:val="none" w:sz="0" w:space="0" w:color="auto" w:frame="1"/>
        </w:rPr>
        <w:t xml:space="preserve"> </w:t>
      </w:r>
      <w:r w:rsidR="003060B9" w:rsidRPr="00100C1E">
        <w:rPr>
          <w:rFonts w:ascii="Bookman Old Style" w:hAnsi="Bookman Old Style"/>
          <w:b w:val="0"/>
          <w:i/>
          <w:sz w:val="24"/>
          <w:szCs w:val="24"/>
          <w:bdr w:val="none" w:sz="0" w:space="0" w:color="auto" w:frame="1"/>
        </w:rPr>
        <w:t>pueda alegar que nos las cumple</w:t>
      </w:r>
      <w:r w:rsidR="0025083D">
        <w:rPr>
          <w:rFonts w:ascii="Bookman Old Style" w:hAnsi="Bookman Old Style"/>
          <w:b w:val="0"/>
          <w:i/>
          <w:sz w:val="24"/>
          <w:szCs w:val="24"/>
          <w:bdr w:val="none" w:sz="0" w:space="0" w:color="auto" w:frame="1"/>
        </w:rPr>
        <w:t>; y, si bien en su contra</w:t>
      </w:r>
      <w:r w:rsidR="00DE434C">
        <w:rPr>
          <w:rFonts w:ascii="Bookman Old Style" w:hAnsi="Bookman Old Style"/>
          <w:b w:val="0"/>
          <w:i/>
          <w:sz w:val="24"/>
          <w:szCs w:val="24"/>
          <w:bdr w:val="none" w:sz="0" w:space="0" w:color="auto" w:frame="1"/>
        </w:rPr>
        <w:t xml:space="preserve"> hay unos efectos indirectos del negocio</w:t>
      </w:r>
      <w:r w:rsidR="00067E61">
        <w:rPr>
          <w:rFonts w:ascii="Bookman Old Style" w:hAnsi="Bookman Old Style"/>
          <w:b w:val="0"/>
          <w:i/>
          <w:sz w:val="24"/>
          <w:szCs w:val="24"/>
          <w:bdr w:val="none" w:sz="0" w:space="0" w:color="auto" w:frame="1"/>
        </w:rPr>
        <w:t>, alusivos a la materialidad de su derecho herencial, no basta la mera inoponibilidad para evitas sus efectos, pues sería necesario retrotraer</w:t>
      </w:r>
      <w:r w:rsidR="00575D72">
        <w:rPr>
          <w:rFonts w:ascii="Bookman Old Style" w:hAnsi="Bookman Old Style"/>
          <w:b w:val="0"/>
          <w:i/>
          <w:sz w:val="24"/>
          <w:szCs w:val="24"/>
          <w:bdr w:val="none" w:sz="0" w:space="0" w:color="auto" w:frame="1"/>
        </w:rPr>
        <w:t xml:space="preserve"> el estado jurídico de los bienes y a ello no se encamina la declaratoria de inoponibilidad».</w:t>
      </w:r>
    </w:p>
    <w:p w14:paraId="18590D66" w14:textId="77777777" w:rsidR="003060B9" w:rsidRDefault="003060B9" w:rsidP="003060B9">
      <w:pPr>
        <w:pStyle w:val="Subttulo"/>
        <w:ind w:firstLine="709"/>
        <w:jc w:val="both"/>
        <w:rPr>
          <w:rFonts w:ascii="Bookman Old Style" w:hAnsi="Bookman Old Style"/>
          <w:b w:val="0"/>
          <w:color w:val="2D2D2D"/>
          <w:sz w:val="28"/>
          <w:szCs w:val="28"/>
          <w:bdr w:val="none" w:sz="0" w:space="0" w:color="auto" w:frame="1"/>
        </w:rPr>
      </w:pPr>
    </w:p>
    <w:p w14:paraId="2B63C079" w14:textId="77777777" w:rsidR="00C06C5A" w:rsidRDefault="00E04B5B" w:rsidP="008674DC">
      <w:pPr>
        <w:pStyle w:val="Subttulo"/>
        <w:ind w:firstLine="709"/>
        <w:jc w:val="both"/>
        <w:rPr>
          <w:rFonts w:ascii="Bookman Old Style" w:hAnsi="Bookman Old Style"/>
          <w:b w:val="0"/>
          <w:sz w:val="28"/>
          <w:szCs w:val="28"/>
          <w:bdr w:val="none" w:sz="0" w:space="0" w:color="auto" w:frame="1"/>
        </w:rPr>
      </w:pPr>
      <w:r>
        <w:rPr>
          <w:rFonts w:ascii="Bookman Old Style" w:hAnsi="Bookman Old Style"/>
          <w:b w:val="0"/>
          <w:sz w:val="28"/>
          <w:szCs w:val="28"/>
          <w:bdr w:val="none" w:sz="0" w:space="0" w:color="auto" w:frame="1"/>
        </w:rPr>
        <w:t>1</w:t>
      </w:r>
      <w:r w:rsidR="00ED0E58">
        <w:rPr>
          <w:rFonts w:ascii="Bookman Old Style" w:hAnsi="Bookman Old Style"/>
          <w:b w:val="0"/>
          <w:sz w:val="28"/>
          <w:szCs w:val="28"/>
          <w:bdr w:val="none" w:sz="0" w:space="0" w:color="auto" w:frame="1"/>
        </w:rPr>
        <w:t>3</w:t>
      </w:r>
      <w:r>
        <w:rPr>
          <w:rFonts w:ascii="Bookman Old Style" w:hAnsi="Bookman Old Style"/>
          <w:b w:val="0"/>
          <w:sz w:val="28"/>
          <w:szCs w:val="28"/>
          <w:bdr w:val="none" w:sz="0" w:space="0" w:color="auto" w:frame="1"/>
        </w:rPr>
        <w:t xml:space="preserve">. </w:t>
      </w:r>
      <w:r w:rsidR="000B30E7" w:rsidRPr="00E867E5">
        <w:rPr>
          <w:rFonts w:ascii="Bookman Old Style" w:hAnsi="Bookman Old Style"/>
          <w:b w:val="0"/>
          <w:sz w:val="28"/>
          <w:szCs w:val="28"/>
          <w:bdr w:val="none" w:sz="0" w:space="0" w:color="auto" w:frame="1"/>
        </w:rPr>
        <w:t xml:space="preserve">Para </w:t>
      </w:r>
      <w:r w:rsidR="001E402F">
        <w:rPr>
          <w:rFonts w:ascii="Bookman Old Style" w:hAnsi="Bookman Old Style"/>
          <w:b w:val="0"/>
          <w:sz w:val="28"/>
          <w:szCs w:val="28"/>
          <w:bdr w:val="none" w:sz="0" w:space="0" w:color="auto" w:frame="1"/>
        </w:rPr>
        <w:t>esta Corporación</w:t>
      </w:r>
      <w:r w:rsidR="009C7B23">
        <w:rPr>
          <w:rFonts w:ascii="Bookman Old Style" w:hAnsi="Bookman Old Style"/>
          <w:b w:val="0"/>
          <w:sz w:val="28"/>
          <w:szCs w:val="28"/>
          <w:bdr w:val="none" w:sz="0" w:space="0" w:color="auto" w:frame="1"/>
        </w:rPr>
        <w:t>,</w:t>
      </w:r>
      <w:r w:rsidR="001E402F">
        <w:rPr>
          <w:rFonts w:ascii="Bookman Old Style" w:hAnsi="Bookman Old Style"/>
          <w:b w:val="0"/>
          <w:sz w:val="28"/>
          <w:szCs w:val="28"/>
          <w:bdr w:val="none" w:sz="0" w:space="0" w:color="auto" w:frame="1"/>
        </w:rPr>
        <w:t xml:space="preserve"> </w:t>
      </w:r>
      <w:r w:rsidR="000B30E7" w:rsidRPr="00E867E5">
        <w:rPr>
          <w:rFonts w:ascii="Bookman Old Style" w:hAnsi="Bookman Old Style"/>
          <w:b w:val="0"/>
          <w:sz w:val="28"/>
          <w:szCs w:val="28"/>
          <w:bdr w:val="none" w:sz="0" w:space="0" w:color="auto" w:frame="1"/>
        </w:rPr>
        <w:t>lo señalado</w:t>
      </w:r>
      <w:r w:rsidR="007E5ED0" w:rsidRPr="00E867E5">
        <w:rPr>
          <w:rFonts w:ascii="Bookman Old Style" w:hAnsi="Bookman Old Style"/>
          <w:b w:val="0"/>
          <w:sz w:val="28"/>
          <w:szCs w:val="28"/>
          <w:bdr w:val="none" w:sz="0" w:space="0" w:color="auto" w:frame="1"/>
        </w:rPr>
        <w:t xml:space="preserve"> </w:t>
      </w:r>
      <w:r w:rsidR="000B30E7" w:rsidRPr="00E867E5">
        <w:rPr>
          <w:rFonts w:ascii="Bookman Old Style" w:hAnsi="Bookman Old Style"/>
          <w:b w:val="0"/>
          <w:sz w:val="28"/>
          <w:szCs w:val="28"/>
          <w:bdr w:val="none" w:sz="0" w:space="0" w:color="auto" w:frame="1"/>
        </w:rPr>
        <w:t>en precedencia constituye una</w:t>
      </w:r>
      <w:r w:rsidR="007E5ED0" w:rsidRPr="00E867E5">
        <w:rPr>
          <w:rFonts w:ascii="Bookman Old Style" w:hAnsi="Bookman Old Style"/>
          <w:b w:val="0"/>
          <w:sz w:val="28"/>
          <w:szCs w:val="28"/>
          <w:bdr w:val="none" w:sz="0" w:space="0" w:color="auto" w:frame="1"/>
        </w:rPr>
        <w:t xml:space="preserve"> </w:t>
      </w:r>
      <w:r w:rsidR="00AC2648">
        <w:rPr>
          <w:rFonts w:ascii="Bookman Old Style" w:hAnsi="Bookman Old Style"/>
          <w:b w:val="0"/>
          <w:sz w:val="28"/>
          <w:szCs w:val="28"/>
          <w:bdr w:val="none" w:sz="0" w:space="0" w:color="auto" w:frame="1"/>
        </w:rPr>
        <w:t>errónea</w:t>
      </w:r>
      <w:r w:rsidR="007E5ED0" w:rsidRPr="00E867E5">
        <w:rPr>
          <w:rFonts w:ascii="Bookman Old Style" w:hAnsi="Bookman Old Style"/>
          <w:b w:val="0"/>
          <w:sz w:val="28"/>
          <w:szCs w:val="28"/>
          <w:bdr w:val="none" w:sz="0" w:space="0" w:color="auto" w:frame="1"/>
        </w:rPr>
        <w:t xml:space="preserve"> </w:t>
      </w:r>
      <w:r w:rsidR="00B83885">
        <w:rPr>
          <w:rFonts w:ascii="Bookman Old Style" w:hAnsi="Bookman Old Style"/>
          <w:b w:val="0"/>
          <w:sz w:val="28"/>
          <w:szCs w:val="28"/>
          <w:bdr w:val="none" w:sz="0" w:space="0" w:color="auto" w:frame="1"/>
        </w:rPr>
        <w:t>apreci</w:t>
      </w:r>
      <w:r w:rsidR="007E5ED0" w:rsidRPr="00E867E5">
        <w:rPr>
          <w:rFonts w:ascii="Bookman Old Style" w:hAnsi="Bookman Old Style"/>
          <w:b w:val="0"/>
          <w:sz w:val="28"/>
          <w:szCs w:val="28"/>
          <w:bdr w:val="none" w:sz="0" w:space="0" w:color="auto" w:frame="1"/>
        </w:rPr>
        <w:t xml:space="preserve">ación del </w:t>
      </w:r>
      <w:r w:rsidR="00AB52FA">
        <w:rPr>
          <w:rFonts w:ascii="Bookman Old Style" w:hAnsi="Bookman Old Style"/>
          <w:b w:val="0"/>
          <w:sz w:val="28"/>
          <w:szCs w:val="28"/>
          <w:bdr w:val="none" w:sz="0" w:space="0" w:color="auto" w:frame="1"/>
        </w:rPr>
        <w:t>J</w:t>
      </w:r>
      <w:r w:rsidR="007E5ED0" w:rsidRPr="00E867E5">
        <w:rPr>
          <w:rFonts w:ascii="Bookman Old Style" w:hAnsi="Bookman Old Style"/>
          <w:b w:val="0"/>
          <w:sz w:val="28"/>
          <w:szCs w:val="28"/>
          <w:bdr w:val="none" w:sz="0" w:space="0" w:color="auto" w:frame="1"/>
        </w:rPr>
        <w:t>uez colegiado para apartarse de los dictados vertidos en la sentencia</w:t>
      </w:r>
      <w:r w:rsidR="00B83885">
        <w:rPr>
          <w:rFonts w:ascii="Bookman Old Style" w:hAnsi="Bookman Old Style"/>
          <w:b w:val="0"/>
          <w:sz w:val="28"/>
          <w:szCs w:val="28"/>
          <w:bdr w:val="none" w:sz="0" w:space="0" w:color="auto" w:frame="1"/>
        </w:rPr>
        <w:t xml:space="preserve"> de casación civil</w:t>
      </w:r>
      <w:r w:rsidR="007E5ED0" w:rsidRPr="00E867E5">
        <w:rPr>
          <w:rFonts w:ascii="Bookman Old Style" w:hAnsi="Bookman Old Style"/>
          <w:b w:val="0"/>
          <w:sz w:val="28"/>
          <w:szCs w:val="28"/>
          <w:bdr w:val="none" w:sz="0" w:space="0" w:color="auto" w:frame="1"/>
        </w:rPr>
        <w:t xml:space="preserve"> de 30 de enero de 2006</w:t>
      </w:r>
      <w:r w:rsidR="00C06C5A">
        <w:rPr>
          <w:rFonts w:ascii="Bookman Old Style" w:hAnsi="Bookman Old Style"/>
          <w:b w:val="0"/>
          <w:sz w:val="28"/>
          <w:szCs w:val="28"/>
          <w:bdr w:val="none" w:sz="0" w:space="0" w:color="auto" w:frame="1"/>
        </w:rPr>
        <w:t xml:space="preserve">. </w:t>
      </w:r>
      <w:r w:rsidR="007E5ED0" w:rsidRPr="00E867E5">
        <w:rPr>
          <w:rFonts w:ascii="Bookman Old Style" w:hAnsi="Bookman Old Style"/>
          <w:b w:val="0"/>
          <w:sz w:val="28"/>
          <w:szCs w:val="28"/>
          <w:bdr w:val="none" w:sz="0" w:space="0" w:color="auto" w:frame="1"/>
        </w:rPr>
        <w:t xml:space="preserve"> </w:t>
      </w:r>
    </w:p>
    <w:p w14:paraId="2CDBA133" w14:textId="77777777" w:rsidR="00C06C5A" w:rsidRDefault="00C06C5A" w:rsidP="008674DC">
      <w:pPr>
        <w:pStyle w:val="Subttulo"/>
        <w:ind w:firstLine="709"/>
        <w:jc w:val="both"/>
        <w:rPr>
          <w:rFonts w:ascii="Bookman Old Style" w:hAnsi="Bookman Old Style"/>
          <w:b w:val="0"/>
          <w:sz w:val="28"/>
          <w:szCs w:val="28"/>
          <w:bdr w:val="none" w:sz="0" w:space="0" w:color="auto" w:frame="1"/>
        </w:rPr>
      </w:pPr>
    </w:p>
    <w:p w14:paraId="00C3E0B2" w14:textId="77777777" w:rsidR="000B30E7" w:rsidRPr="00E867E5" w:rsidRDefault="00C06C5A" w:rsidP="00AB52FA">
      <w:pPr>
        <w:pStyle w:val="Subttulo"/>
        <w:ind w:firstLine="709"/>
        <w:jc w:val="both"/>
        <w:rPr>
          <w:rFonts w:ascii="Bookman Old Style" w:hAnsi="Bookman Old Style"/>
          <w:b w:val="0"/>
          <w:sz w:val="28"/>
          <w:szCs w:val="28"/>
          <w:bdr w:val="none" w:sz="0" w:space="0" w:color="auto" w:frame="1"/>
        </w:rPr>
      </w:pPr>
      <w:r>
        <w:rPr>
          <w:rFonts w:ascii="Bookman Old Style" w:hAnsi="Bookman Old Style"/>
          <w:b w:val="0"/>
          <w:sz w:val="28"/>
          <w:szCs w:val="28"/>
          <w:bdr w:val="none" w:sz="0" w:space="0" w:color="auto" w:frame="1"/>
        </w:rPr>
        <w:t xml:space="preserve">En efecto, </w:t>
      </w:r>
      <w:r w:rsidR="00E04B5B">
        <w:rPr>
          <w:rFonts w:ascii="Bookman Old Style" w:hAnsi="Bookman Old Style"/>
          <w:b w:val="0"/>
          <w:sz w:val="28"/>
          <w:szCs w:val="28"/>
          <w:bdr w:val="none" w:sz="0" w:space="0" w:color="auto" w:frame="1"/>
        </w:rPr>
        <w:t>en</w:t>
      </w:r>
      <w:r w:rsidR="004515FB">
        <w:rPr>
          <w:rFonts w:ascii="Bookman Old Style" w:hAnsi="Bookman Old Style"/>
          <w:b w:val="0"/>
          <w:sz w:val="28"/>
          <w:szCs w:val="28"/>
          <w:bdr w:val="none" w:sz="0" w:space="0" w:color="auto" w:frame="1"/>
        </w:rPr>
        <w:t xml:space="preserve"> el</w:t>
      </w:r>
      <w:r w:rsidR="00E04B5B">
        <w:rPr>
          <w:rFonts w:ascii="Bookman Old Style" w:hAnsi="Bookman Old Style"/>
          <w:b w:val="0"/>
          <w:sz w:val="28"/>
          <w:szCs w:val="28"/>
          <w:bdr w:val="none" w:sz="0" w:space="0" w:color="auto" w:frame="1"/>
        </w:rPr>
        <w:t xml:space="preserve"> </w:t>
      </w:r>
      <w:r w:rsidR="00AE59FF">
        <w:rPr>
          <w:rFonts w:ascii="Bookman Old Style" w:hAnsi="Bookman Old Style"/>
          <w:b w:val="0"/>
          <w:sz w:val="28"/>
          <w:szCs w:val="28"/>
          <w:bdr w:val="none" w:sz="0" w:space="0" w:color="auto" w:frame="1"/>
        </w:rPr>
        <w:t>caso de marras</w:t>
      </w:r>
      <w:r>
        <w:rPr>
          <w:rFonts w:ascii="Bookman Old Style" w:hAnsi="Bookman Old Style"/>
          <w:b w:val="0"/>
          <w:sz w:val="28"/>
          <w:szCs w:val="28"/>
          <w:bdr w:val="none" w:sz="0" w:space="0" w:color="auto" w:frame="1"/>
        </w:rPr>
        <w:t>,</w:t>
      </w:r>
      <w:r w:rsidR="00AE59FF">
        <w:rPr>
          <w:rFonts w:ascii="Bookman Old Style" w:hAnsi="Bookman Old Style"/>
          <w:b w:val="0"/>
          <w:sz w:val="28"/>
          <w:szCs w:val="28"/>
          <w:bdr w:val="none" w:sz="0" w:space="0" w:color="auto" w:frame="1"/>
        </w:rPr>
        <w:t xml:space="preserve"> </w:t>
      </w:r>
      <w:r w:rsidR="00981878">
        <w:rPr>
          <w:rFonts w:ascii="Bookman Old Style" w:hAnsi="Bookman Old Style"/>
          <w:b w:val="0"/>
          <w:sz w:val="28"/>
          <w:szCs w:val="28"/>
          <w:bdr w:val="none" w:sz="0" w:space="0" w:color="auto" w:frame="1"/>
        </w:rPr>
        <w:t>la condición de tercero</w:t>
      </w:r>
      <w:r w:rsidR="00AB5926">
        <w:rPr>
          <w:rFonts w:ascii="Bookman Old Style" w:hAnsi="Bookman Old Style"/>
          <w:b w:val="0"/>
          <w:sz w:val="28"/>
          <w:szCs w:val="28"/>
          <w:bdr w:val="none" w:sz="0" w:space="0" w:color="auto" w:frame="1"/>
        </w:rPr>
        <w:t xml:space="preserve"> del demandante</w:t>
      </w:r>
      <w:r w:rsidR="00981878">
        <w:rPr>
          <w:rFonts w:ascii="Bookman Old Style" w:hAnsi="Bookman Old Style"/>
          <w:b w:val="0"/>
          <w:sz w:val="28"/>
          <w:szCs w:val="28"/>
          <w:bdr w:val="none" w:sz="0" w:space="0" w:color="auto" w:frame="1"/>
        </w:rPr>
        <w:t xml:space="preserve"> </w:t>
      </w:r>
      <w:r w:rsidR="00AB52FA">
        <w:rPr>
          <w:rFonts w:ascii="Bookman Old Style" w:hAnsi="Bookman Old Style"/>
          <w:b w:val="0"/>
          <w:sz w:val="28"/>
          <w:szCs w:val="28"/>
          <w:bdr w:val="none" w:sz="0" w:space="0" w:color="auto" w:frame="1"/>
        </w:rPr>
        <w:t xml:space="preserve">tiene su génesis en el siguiente axioma: su </w:t>
      </w:r>
      <w:r w:rsidR="00AB52FA">
        <w:rPr>
          <w:rFonts w:ascii="Bookman Old Style" w:hAnsi="Bookman Old Style"/>
          <w:b w:val="0"/>
          <w:sz w:val="28"/>
          <w:szCs w:val="28"/>
          <w:bdr w:val="none" w:sz="0" w:space="0" w:color="auto" w:frame="1"/>
        </w:rPr>
        <w:lastRenderedPageBreak/>
        <w:t>protección</w:t>
      </w:r>
      <w:r w:rsidR="00981878">
        <w:rPr>
          <w:rFonts w:ascii="Bookman Old Style" w:hAnsi="Bookman Old Style"/>
          <w:b w:val="0"/>
          <w:sz w:val="28"/>
          <w:szCs w:val="28"/>
          <w:bdr w:val="none" w:sz="0" w:space="0" w:color="auto" w:frame="1"/>
        </w:rPr>
        <w:t xml:space="preserve"> </w:t>
      </w:r>
      <w:r w:rsidR="00AB52FA">
        <w:rPr>
          <w:rFonts w:ascii="Bookman Old Style" w:hAnsi="Bookman Old Style"/>
          <w:b w:val="0"/>
          <w:sz w:val="28"/>
          <w:szCs w:val="28"/>
          <w:bdr w:val="none" w:sz="0" w:space="0" w:color="auto" w:frame="1"/>
        </w:rPr>
        <w:t>reclamada</w:t>
      </w:r>
      <w:r w:rsidR="004E0CE2">
        <w:rPr>
          <w:rFonts w:ascii="Bookman Old Style" w:hAnsi="Bookman Old Style"/>
          <w:b w:val="0"/>
          <w:sz w:val="28"/>
          <w:szCs w:val="28"/>
          <w:bdr w:val="none" w:sz="0" w:space="0" w:color="auto" w:frame="1"/>
        </w:rPr>
        <w:t xml:space="preserve"> está directamente relacionada</w:t>
      </w:r>
      <w:r w:rsidR="00981878">
        <w:rPr>
          <w:rFonts w:ascii="Bookman Old Style" w:hAnsi="Bookman Old Style"/>
          <w:b w:val="0"/>
          <w:sz w:val="28"/>
          <w:szCs w:val="28"/>
          <w:bdr w:val="none" w:sz="0" w:space="0" w:color="auto" w:frame="1"/>
        </w:rPr>
        <w:t xml:space="preserve"> </w:t>
      </w:r>
      <w:r w:rsidR="00314276">
        <w:rPr>
          <w:rFonts w:ascii="Bookman Old Style" w:hAnsi="Bookman Old Style"/>
          <w:b w:val="0"/>
          <w:sz w:val="28"/>
          <w:szCs w:val="28"/>
          <w:bdr w:val="none" w:sz="0" w:space="0" w:color="auto" w:frame="1"/>
        </w:rPr>
        <w:t>con</w:t>
      </w:r>
      <w:r w:rsidR="00FC0A23">
        <w:rPr>
          <w:rFonts w:ascii="Bookman Old Style" w:hAnsi="Bookman Old Style"/>
          <w:b w:val="0"/>
          <w:sz w:val="28"/>
          <w:szCs w:val="28"/>
          <w:bdr w:val="none" w:sz="0" w:space="0" w:color="auto" w:frame="1"/>
        </w:rPr>
        <w:t xml:space="preserve"> la defensa de un interés propio</w:t>
      </w:r>
      <w:r w:rsidR="00A21A1D">
        <w:rPr>
          <w:rFonts w:ascii="Bookman Old Style" w:hAnsi="Bookman Old Style"/>
          <w:b w:val="0"/>
          <w:sz w:val="28"/>
          <w:szCs w:val="28"/>
          <w:bdr w:val="none" w:sz="0" w:space="0" w:color="auto" w:frame="1"/>
        </w:rPr>
        <w:t>.</w:t>
      </w:r>
      <w:r w:rsidR="00AF2F42" w:rsidRPr="00E867E5">
        <w:rPr>
          <w:rFonts w:ascii="Bookman Old Style" w:hAnsi="Bookman Old Style"/>
          <w:b w:val="0"/>
          <w:sz w:val="28"/>
          <w:szCs w:val="28"/>
          <w:bdr w:val="none" w:sz="0" w:space="0" w:color="auto" w:frame="1"/>
        </w:rPr>
        <w:t xml:space="preserve"> </w:t>
      </w:r>
      <w:r w:rsidR="002D704E" w:rsidRPr="00E867E5">
        <w:rPr>
          <w:rFonts w:ascii="Bookman Old Style" w:hAnsi="Bookman Old Style"/>
          <w:b w:val="0"/>
          <w:sz w:val="28"/>
          <w:szCs w:val="28"/>
          <w:bdr w:val="none" w:sz="0" w:space="0" w:color="auto" w:frame="1"/>
        </w:rPr>
        <w:t xml:space="preserve"> </w:t>
      </w:r>
    </w:p>
    <w:p w14:paraId="758FC4DB" w14:textId="77777777" w:rsidR="008B5907" w:rsidRPr="002076BC" w:rsidRDefault="008B5907" w:rsidP="00C06C5A">
      <w:pPr>
        <w:pStyle w:val="Subttulo"/>
        <w:jc w:val="both"/>
        <w:rPr>
          <w:rFonts w:ascii="Bookman Old Style" w:hAnsi="Bookman Old Style"/>
          <w:b w:val="0"/>
          <w:sz w:val="28"/>
          <w:szCs w:val="28"/>
          <w:bdr w:val="none" w:sz="0" w:space="0" w:color="auto" w:frame="1"/>
        </w:rPr>
      </w:pPr>
    </w:p>
    <w:p w14:paraId="27800E9B" w14:textId="77777777" w:rsidR="006D7A92" w:rsidRDefault="00E30608" w:rsidP="00DD4584">
      <w:pPr>
        <w:pStyle w:val="Subttulo"/>
        <w:ind w:firstLine="709"/>
        <w:jc w:val="both"/>
        <w:rPr>
          <w:rFonts w:ascii="Bookman Old Style" w:hAnsi="Bookman Old Style" w:cs="Arial"/>
          <w:b w:val="0"/>
          <w:sz w:val="28"/>
          <w:szCs w:val="28"/>
        </w:rPr>
      </w:pPr>
      <w:r w:rsidRPr="002076BC">
        <w:rPr>
          <w:rFonts w:ascii="Bookman Old Style" w:hAnsi="Bookman Old Style" w:cs="Arial"/>
          <w:b w:val="0"/>
          <w:sz w:val="28"/>
          <w:szCs w:val="28"/>
        </w:rPr>
        <w:t>1</w:t>
      </w:r>
      <w:r w:rsidR="006A048B">
        <w:rPr>
          <w:rFonts w:ascii="Bookman Old Style" w:hAnsi="Bookman Old Style" w:cs="Arial"/>
          <w:b w:val="0"/>
          <w:sz w:val="28"/>
          <w:szCs w:val="28"/>
        </w:rPr>
        <w:t>4</w:t>
      </w:r>
      <w:r w:rsidRPr="002076BC">
        <w:rPr>
          <w:rFonts w:ascii="Bookman Old Style" w:hAnsi="Bookman Old Style" w:cs="Arial"/>
          <w:b w:val="0"/>
          <w:sz w:val="28"/>
          <w:szCs w:val="28"/>
        </w:rPr>
        <w:t xml:space="preserve">. </w:t>
      </w:r>
      <w:r w:rsidR="00F03FA8">
        <w:rPr>
          <w:rFonts w:ascii="Bookman Old Style" w:hAnsi="Bookman Old Style" w:cs="Arial"/>
          <w:b w:val="0"/>
          <w:sz w:val="28"/>
          <w:szCs w:val="28"/>
        </w:rPr>
        <w:t>Insiste l</w:t>
      </w:r>
      <w:r w:rsidR="00901C3D" w:rsidRPr="002076BC">
        <w:rPr>
          <w:rFonts w:ascii="Bookman Old Style" w:hAnsi="Bookman Old Style" w:cs="Arial"/>
          <w:b w:val="0"/>
          <w:sz w:val="28"/>
          <w:szCs w:val="28"/>
        </w:rPr>
        <w:t>a Cor</w:t>
      </w:r>
      <w:r w:rsidR="00F03FA8">
        <w:rPr>
          <w:rFonts w:ascii="Bookman Old Style" w:hAnsi="Bookman Old Style" w:cs="Arial"/>
          <w:b w:val="0"/>
          <w:sz w:val="28"/>
          <w:szCs w:val="28"/>
        </w:rPr>
        <w:t>poración</w:t>
      </w:r>
      <w:r w:rsidR="00901C3D" w:rsidRPr="002076BC">
        <w:rPr>
          <w:rFonts w:ascii="Bookman Old Style" w:hAnsi="Bookman Old Style" w:cs="Arial"/>
          <w:b w:val="0"/>
          <w:sz w:val="28"/>
          <w:szCs w:val="28"/>
        </w:rPr>
        <w:t xml:space="preserve"> que el fenómeno jurídico de la inoponibilidad </w:t>
      </w:r>
      <w:r w:rsidR="007A4255" w:rsidRPr="002076BC">
        <w:rPr>
          <w:rFonts w:ascii="Bookman Old Style" w:hAnsi="Bookman Old Style" w:cs="Arial"/>
          <w:b w:val="0"/>
          <w:sz w:val="28"/>
          <w:szCs w:val="28"/>
        </w:rPr>
        <w:t>es</w:t>
      </w:r>
      <w:r w:rsidR="009821D0">
        <w:rPr>
          <w:rFonts w:ascii="Bookman Old Style" w:hAnsi="Bookman Old Style" w:cs="Arial"/>
          <w:b w:val="0"/>
          <w:sz w:val="28"/>
          <w:szCs w:val="28"/>
        </w:rPr>
        <w:t>, a no dudarlo,</w:t>
      </w:r>
      <w:r w:rsidR="007A4255" w:rsidRPr="002076BC">
        <w:rPr>
          <w:rFonts w:ascii="Bookman Old Style" w:hAnsi="Bookman Old Style" w:cs="Arial"/>
          <w:b w:val="0"/>
          <w:sz w:val="28"/>
          <w:szCs w:val="28"/>
        </w:rPr>
        <w:t xml:space="preserve"> el llamado a regir la controversia planteada</w:t>
      </w:r>
      <w:r w:rsidR="00EF0B2D">
        <w:rPr>
          <w:rFonts w:ascii="Bookman Old Style" w:hAnsi="Bookman Old Style" w:cs="Arial"/>
          <w:b w:val="0"/>
          <w:sz w:val="28"/>
          <w:szCs w:val="28"/>
        </w:rPr>
        <w:t>. En efecto,</w:t>
      </w:r>
      <w:r w:rsidR="007A4255" w:rsidRPr="002076BC">
        <w:rPr>
          <w:rFonts w:ascii="Bookman Old Style" w:hAnsi="Bookman Old Style" w:cs="Arial"/>
          <w:b w:val="0"/>
          <w:sz w:val="28"/>
          <w:szCs w:val="28"/>
        </w:rPr>
        <w:t xml:space="preserve"> la renuncia a los </w:t>
      </w:r>
      <w:r w:rsidR="007A4255">
        <w:rPr>
          <w:rFonts w:ascii="Bookman Old Style" w:hAnsi="Bookman Old Style" w:cs="Arial"/>
          <w:b w:val="0"/>
          <w:sz w:val="28"/>
          <w:szCs w:val="28"/>
        </w:rPr>
        <w:t>gananciales</w:t>
      </w:r>
      <w:r w:rsidR="005B235D">
        <w:rPr>
          <w:rFonts w:ascii="Bookman Old Style" w:hAnsi="Bookman Old Style" w:cs="Arial"/>
          <w:b w:val="0"/>
          <w:sz w:val="28"/>
          <w:szCs w:val="28"/>
        </w:rPr>
        <w:t>,</w:t>
      </w:r>
      <w:r w:rsidR="007A4255">
        <w:rPr>
          <w:rFonts w:ascii="Bookman Old Style" w:hAnsi="Bookman Old Style" w:cs="Arial"/>
          <w:b w:val="0"/>
          <w:sz w:val="28"/>
          <w:szCs w:val="28"/>
        </w:rPr>
        <w:t xml:space="preserve"> realizada por el cónyuge capaz</w:t>
      </w:r>
      <w:r w:rsidR="00C06C5A">
        <w:rPr>
          <w:rFonts w:ascii="Bookman Old Style" w:hAnsi="Bookman Old Style" w:cs="Arial"/>
          <w:b w:val="0"/>
          <w:sz w:val="28"/>
          <w:szCs w:val="28"/>
        </w:rPr>
        <w:t xml:space="preserve">, </w:t>
      </w:r>
      <w:r w:rsidR="007A4255">
        <w:rPr>
          <w:rFonts w:ascii="Bookman Old Style" w:hAnsi="Bookman Old Style" w:cs="Arial"/>
          <w:b w:val="0"/>
          <w:sz w:val="28"/>
          <w:szCs w:val="28"/>
        </w:rPr>
        <w:t>está permitida por el legislador</w:t>
      </w:r>
      <w:r w:rsidR="00DD4584">
        <w:rPr>
          <w:rFonts w:ascii="Bookman Old Style" w:hAnsi="Bookman Old Style" w:cs="Arial"/>
          <w:b w:val="0"/>
          <w:sz w:val="28"/>
          <w:szCs w:val="28"/>
        </w:rPr>
        <w:t xml:space="preserve">. Empero, tal renuncia no podría extenderse o perjudicar a </w:t>
      </w:r>
      <w:r w:rsidR="007A4255">
        <w:rPr>
          <w:rFonts w:ascii="Bookman Old Style" w:hAnsi="Bookman Old Style" w:cs="Arial"/>
          <w:b w:val="0"/>
          <w:sz w:val="28"/>
          <w:szCs w:val="28"/>
        </w:rPr>
        <w:t>terceros</w:t>
      </w:r>
      <w:r w:rsidR="00C06C5A">
        <w:rPr>
          <w:rFonts w:ascii="Bookman Old Style" w:hAnsi="Bookman Old Style" w:cs="Arial"/>
          <w:b w:val="0"/>
          <w:sz w:val="28"/>
          <w:szCs w:val="28"/>
        </w:rPr>
        <w:t>.</w:t>
      </w:r>
      <w:r w:rsidR="007A4255">
        <w:rPr>
          <w:rFonts w:ascii="Bookman Old Style" w:hAnsi="Bookman Old Style" w:cs="Arial"/>
          <w:b w:val="0"/>
          <w:sz w:val="28"/>
          <w:szCs w:val="28"/>
        </w:rPr>
        <w:t xml:space="preserve"> </w:t>
      </w:r>
      <w:r w:rsidR="00C06C5A">
        <w:rPr>
          <w:rFonts w:ascii="Bookman Old Style" w:hAnsi="Bookman Old Style" w:cs="Arial"/>
          <w:b w:val="0"/>
          <w:sz w:val="28"/>
          <w:szCs w:val="28"/>
        </w:rPr>
        <w:t>Así las cosas,</w:t>
      </w:r>
      <w:r w:rsidR="007A4255">
        <w:rPr>
          <w:rFonts w:ascii="Bookman Old Style" w:hAnsi="Bookman Old Style" w:cs="Arial"/>
          <w:b w:val="0"/>
          <w:sz w:val="28"/>
          <w:szCs w:val="28"/>
        </w:rPr>
        <w:t xml:space="preserve"> en principio, ese acto jurídico es válido </w:t>
      </w:r>
      <w:r w:rsidR="00DD4584">
        <w:rPr>
          <w:rFonts w:ascii="Bookman Old Style" w:hAnsi="Bookman Old Style" w:cs="Arial"/>
          <w:b w:val="0"/>
          <w:sz w:val="28"/>
          <w:szCs w:val="28"/>
        </w:rPr>
        <w:t xml:space="preserve">(no desafía </w:t>
      </w:r>
      <w:r w:rsidR="007A4255">
        <w:rPr>
          <w:rFonts w:ascii="Bookman Old Style" w:hAnsi="Bookman Old Style" w:cs="Arial"/>
          <w:b w:val="0"/>
          <w:sz w:val="28"/>
          <w:szCs w:val="28"/>
        </w:rPr>
        <w:t xml:space="preserve">las prescripciones del </w:t>
      </w:r>
      <w:r w:rsidR="007A4255" w:rsidRPr="00B053E0">
        <w:rPr>
          <w:rFonts w:ascii="Bookman Old Style" w:hAnsi="Bookman Old Style" w:cs="Arial"/>
          <w:b w:val="0"/>
          <w:sz w:val="28"/>
          <w:szCs w:val="28"/>
        </w:rPr>
        <w:t xml:space="preserve">artículo </w:t>
      </w:r>
      <w:r w:rsidR="00C06C5A" w:rsidRPr="00B053E0">
        <w:rPr>
          <w:rFonts w:ascii="Bookman Old Style" w:hAnsi="Bookman Old Style" w:cs="Arial"/>
          <w:b w:val="0"/>
          <w:sz w:val="28"/>
          <w:szCs w:val="28"/>
        </w:rPr>
        <w:t>1502</w:t>
      </w:r>
      <w:r w:rsidR="007A4255" w:rsidRPr="00B053E0">
        <w:rPr>
          <w:rFonts w:ascii="Bookman Old Style" w:hAnsi="Bookman Old Style" w:cs="Arial"/>
          <w:b w:val="0"/>
          <w:sz w:val="28"/>
          <w:szCs w:val="28"/>
        </w:rPr>
        <w:t xml:space="preserve"> del Código Civil</w:t>
      </w:r>
      <w:r w:rsidR="00DD4584">
        <w:rPr>
          <w:rFonts w:ascii="Bookman Old Style" w:hAnsi="Bookman Old Style" w:cs="Arial"/>
          <w:b w:val="0"/>
          <w:sz w:val="28"/>
          <w:szCs w:val="28"/>
        </w:rPr>
        <w:t>)</w:t>
      </w:r>
      <w:r w:rsidR="00C06C5A">
        <w:rPr>
          <w:rFonts w:ascii="Bookman Old Style" w:hAnsi="Bookman Old Style" w:cs="Arial"/>
          <w:b w:val="0"/>
          <w:sz w:val="28"/>
          <w:szCs w:val="28"/>
        </w:rPr>
        <w:t>.</w:t>
      </w:r>
      <w:r w:rsidR="00211FC5">
        <w:rPr>
          <w:rFonts w:ascii="Bookman Old Style" w:hAnsi="Bookman Old Style" w:cs="Arial"/>
          <w:b w:val="0"/>
          <w:sz w:val="28"/>
          <w:szCs w:val="28"/>
        </w:rPr>
        <w:t xml:space="preserve"> </w:t>
      </w:r>
      <w:r w:rsidR="00C06C5A">
        <w:rPr>
          <w:rFonts w:ascii="Bookman Old Style" w:hAnsi="Bookman Old Style" w:cs="Arial"/>
          <w:b w:val="0"/>
          <w:sz w:val="28"/>
          <w:szCs w:val="28"/>
        </w:rPr>
        <w:t>S</w:t>
      </w:r>
      <w:r w:rsidR="00211FC5">
        <w:rPr>
          <w:rFonts w:ascii="Bookman Old Style" w:hAnsi="Bookman Old Style" w:cs="Arial"/>
          <w:b w:val="0"/>
          <w:sz w:val="28"/>
          <w:szCs w:val="28"/>
        </w:rPr>
        <w:t xml:space="preserve">in embargo, no es oponible </w:t>
      </w:r>
      <w:r w:rsidR="00DD4584">
        <w:rPr>
          <w:rFonts w:ascii="Bookman Old Style" w:hAnsi="Bookman Old Style" w:cs="Arial"/>
          <w:b w:val="0"/>
          <w:sz w:val="28"/>
          <w:szCs w:val="28"/>
        </w:rPr>
        <w:t>frente</w:t>
      </w:r>
      <w:r w:rsidR="00211FC5">
        <w:rPr>
          <w:rFonts w:ascii="Bookman Old Style" w:hAnsi="Bookman Old Style" w:cs="Arial"/>
          <w:b w:val="0"/>
          <w:sz w:val="28"/>
          <w:szCs w:val="28"/>
        </w:rPr>
        <w:t xml:space="preserve"> terceros interesados.</w:t>
      </w:r>
    </w:p>
    <w:p w14:paraId="76BD17DD" w14:textId="77777777" w:rsidR="001F3B23" w:rsidRDefault="001F3B23" w:rsidP="00ED49A0">
      <w:pPr>
        <w:pStyle w:val="Subttulo"/>
        <w:ind w:firstLine="709"/>
        <w:jc w:val="both"/>
        <w:rPr>
          <w:rFonts w:ascii="Bookman Old Style" w:hAnsi="Bookman Old Style" w:cs="Arial"/>
          <w:b w:val="0"/>
          <w:sz w:val="28"/>
          <w:szCs w:val="28"/>
        </w:rPr>
      </w:pPr>
    </w:p>
    <w:p w14:paraId="4F496508" w14:textId="77777777" w:rsidR="001F3B23" w:rsidRPr="00734852" w:rsidRDefault="00EF0B2D" w:rsidP="00ED49A0">
      <w:pPr>
        <w:pStyle w:val="Subttulo"/>
        <w:ind w:firstLine="709"/>
        <w:jc w:val="both"/>
        <w:rPr>
          <w:rFonts w:ascii="Bookman Old Style" w:hAnsi="Bookman Old Style" w:cs="Arial"/>
          <w:b w:val="0"/>
          <w:sz w:val="28"/>
          <w:szCs w:val="28"/>
        </w:rPr>
      </w:pPr>
      <w:r>
        <w:rPr>
          <w:rFonts w:ascii="Bookman Old Style" w:hAnsi="Bookman Old Style" w:cs="Arial"/>
          <w:b w:val="0"/>
          <w:sz w:val="28"/>
          <w:szCs w:val="28"/>
        </w:rPr>
        <w:t>Sobre el particular</w:t>
      </w:r>
      <w:r w:rsidR="001F3B23" w:rsidRPr="00F5210C">
        <w:rPr>
          <w:rFonts w:ascii="Bookman Old Style" w:hAnsi="Bookman Old Style" w:cs="Arial"/>
          <w:b w:val="0"/>
          <w:sz w:val="28"/>
          <w:szCs w:val="28"/>
        </w:rPr>
        <w:t xml:space="preserve">, </w:t>
      </w:r>
      <w:r w:rsidR="00734852" w:rsidRPr="00F5210C">
        <w:rPr>
          <w:rFonts w:ascii="Bookman Old Style" w:hAnsi="Bookman Old Style" w:cs="Arial"/>
          <w:b w:val="0"/>
          <w:sz w:val="28"/>
          <w:szCs w:val="28"/>
        </w:rPr>
        <w:t xml:space="preserve">ha dicho la Corte, que </w:t>
      </w:r>
      <w:r w:rsidR="00734852" w:rsidRPr="00F5210C">
        <w:rPr>
          <w:rFonts w:ascii="Bookman Old Style" w:hAnsi="Bookman Old Style" w:cs="Arial"/>
          <w:b w:val="0"/>
          <w:i/>
          <w:sz w:val="24"/>
          <w:szCs w:val="24"/>
        </w:rPr>
        <w:t xml:space="preserve">“El artículo 6º del C.C., en el inciso 2º, despeja toda duda en relación con la sanción de los actos jurídicos llevados a cabo contra expresa prohibición de la ley, cuando determina y fija la sanción de la nulidad, no para todos los que se hallen afectados de ese vicio, sino para aquellos en que la ley no ha establecido una sanción distinta» </w:t>
      </w:r>
      <w:r w:rsidR="00734852" w:rsidRPr="00F5210C">
        <w:rPr>
          <w:rFonts w:ascii="Bookman Old Style" w:hAnsi="Bookman Old Style" w:cs="Arial"/>
          <w:b w:val="0"/>
          <w:sz w:val="28"/>
          <w:szCs w:val="28"/>
        </w:rPr>
        <w:t>(CSJ. Sent. 25 de julio de 1957; reiterada en sentencia de 16 de mayo de 1967).</w:t>
      </w:r>
    </w:p>
    <w:p w14:paraId="4DB5C58A" w14:textId="77777777" w:rsidR="006D7A92" w:rsidRDefault="006D7A92" w:rsidP="00ED49A0">
      <w:pPr>
        <w:pStyle w:val="Subttulo"/>
        <w:ind w:firstLine="709"/>
        <w:jc w:val="both"/>
        <w:rPr>
          <w:rFonts w:ascii="Bookman Old Style" w:hAnsi="Bookman Old Style" w:cs="Arial"/>
          <w:b w:val="0"/>
          <w:sz w:val="28"/>
          <w:szCs w:val="28"/>
        </w:rPr>
      </w:pPr>
    </w:p>
    <w:p w14:paraId="51680C9C" w14:textId="77777777" w:rsidR="006222C7" w:rsidRPr="006222C7" w:rsidRDefault="00734852" w:rsidP="006222C7">
      <w:pPr>
        <w:widowControl w:val="0"/>
        <w:spacing w:line="360" w:lineRule="auto"/>
        <w:ind w:firstLine="709"/>
        <w:jc w:val="both"/>
        <w:rPr>
          <w:rFonts w:ascii="Bookman Old Style" w:eastAsia="Times New Roman" w:hAnsi="Bookman Old Style" w:cs="Arial"/>
          <w:sz w:val="28"/>
          <w:szCs w:val="28"/>
        </w:rPr>
      </w:pPr>
      <w:r w:rsidRPr="00F5210C">
        <w:rPr>
          <w:rFonts w:ascii="Bookman Old Style" w:hAnsi="Bookman Old Style" w:cs="Arial"/>
          <w:sz w:val="28"/>
          <w:szCs w:val="28"/>
        </w:rPr>
        <w:t>De manera que</w:t>
      </w:r>
      <w:r w:rsidR="00F7671D" w:rsidRPr="00F5210C">
        <w:rPr>
          <w:rFonts w:ascii="Bookman Old Style" w:hAnsi="Bookman Old Style" w:cs="Arial"/>
          <w:sz w:val="28"/>
          <w:szCs w:val="28"/>
        </w:rPr>
        <w:t>,</w:t>
      </w:r>
      <w:r w:rsidRPr="00F5210C">
        <w:rPr>
          <w:rFonts w:ascii="Bookman Old Style" w:hAnsi="Bookman Old Style" w:cs="Arial"/>
          <w:sz w:val="28"/>
          <w:szCs w:val="28"/>
        </w:rPr>
        <w:t xml:space="preserve"> si el legislador patrio autoriza</w:t>
      </w:r>
      <w:r w:rsidR="00C43CE7" w:rsidRPr="00F5210C">
        <w:rPr>
          <w:rFonts w:ascii="Bookman Old Style" w:hAnsi="Bookman Old Style" w:cs="Arial"/>
          <w:sz w:val="28"/>
          <w:szCs w:val="28"/>
        </w:rPr>
        <w:t xml:space="preserve"> tal renuncia, «</w:t>
      </w:r>
      <w:r w:rsidR="00C43CE7" w:rsidRPr="00F5210C">
        <w:rPr>
          <w:rFonts w:ascii="Bookman Old Style" w:hAnsi="Bookman Old Style" w:cs="Arial"/>
          <w:i/>
          <w:sz w:val="28"/>
          <w:szCs w:val="28"/>
        </w:rPr>
        <w:t xml:space="preserve">sin perjuicios de los terceros», </w:t>
      </w:r>
      <w:r w:rsidR="00C43CE7" w:rsidRPr="00F5210C">
        <w:rPr>
          <w:rFonts w:ascii="Bookman Old Style" w:hAnsi="Bookman Old Style" w:cs="Arial"/>
          <w:sz w:val="28"/>
          <w:szCs w:val="28"/>
        </w:rPr>
        <w:t xml:space="preserve">es obvio que con esta última expresión instituye un típico caso de inoponibilidad </w:t>
      </w:r>
      <w:r w:rsidR="00DD4584">
        <w:rPr>
          <w:rFonts w:ascii="Bookman Old Style" w:hAnsi="Bookman Old Style" w:cs="Arial"/>
          <w:sz w:val="28"/>
          <w:szCs w:val="28"/>
        </w:rPr>
        <w:t xml:space="preserve">-que </w:t>
      </w:r>
      <w:r w:rsidR="00C43CE7" w:rsidRPr="00F5210C">
        <w:rPr>
          <w:rFonts w:ascii="Bookman Old Style" w:hAnsi="Bookman Old Style" w:cs="Arial"/>
          <w:sz w:val="28"/>
          <w:szCs w:val="28"/>
        </w:rPr>
        <w:t>no de nulidad</w:t>
      </w:r>
      <w:r w:rsidR="00DD4584">
        <w:rPr>
          <w:rFonts w:ascii="Bookman Old Style" w:hAnsi="Bookman Old Style" w:cs="Arial"/>
          <w:sz w:val="28"/>
          <w:szCs w:val="28"/>
        </w:rPr>
        <w:t xml:space="preserve">-. En una palabra, </w:t>
      </w:r>
      <w:r w:rsidR="00C43CE7" w:rsidRPr="00F5210C">
        <w:rPr>
          <w:rFonts w:ascii="Bookman Old Style" w:hAnsi="Bookman Old Style" w:cs="Arial"/>
          <w:sz w:val="28"/>
          <w:szCs w:val="28"/>
        </w:rPr>
        <w:t>no p</w:t>
      </w:r>
      <w:r w:rsidR="00DD4584">
        <w:rPr>
          <w:rFonts w:ascii="Bookman Old Style" w:hAnsi="Bookman Old Style" w:cs="Arial"/>
          <w:sz w:val="28"/>
          <w:szCs w:val="28"/>
        </w:rPr>
        <w:t>odría</w:t>
      </w:r>
      <w:r w:rsidR="00C43CE7" w:rsidRPr="00F5210C">
        <w:rPr>
          <w:rFonts w:ascii="Bookman Old Style" w:hAnsi="Bookman Old Style" w:cs="Arial"/>
          <w:sz w:val="28"/>
          <w:szCs w:val="28"/>
        </w:rPr>
        <w:t xml:space="preserve"> exigírsele al heredero</w:t>
      </w:r>
      <w:r w:rsidR="00B053E0" w:rsidRPr="00F5210C">
        <w:rPr>
          <w:rFonts w:ascii="Bookman Old Style" w:hAnsi="Bookman Old Style" w:cs="Arial"/>
          <w:sz w:val="28"/>
          <w:szCs w:val="28"/>
        </w:rPr>
        <w:t>,</w:t>
      </w:r>
      <w:r w:rsidR="00D45F39" w:rsidRPr="00F5210C">
        <w:rPr>
          <w:rFonts w:ascii="Bookman Old Style" w:hAnsi="Bookman Old Style" w:cs="Arial"/>
          <w:sz w:val="28"/>
          <w:szCs w:val="28"/>
        </w:rPr>
        <w:t xml:space="preserve"> a quien se le afectó su legítima rigurosa</w:t>
      </w:r>
      <w:r w:rsidR="00B053E0" w:rsidRPr="00F5210C">
        <w:rPr>
          <w:rFonts w:ascii="Bookman Old Style" w:hAnsi="Bookman Old Style" w:cs="Arial"/>
          <w:sz w:val="28"/>
          <w:szCs w:val="28"/>
        </w:rPr>
        <w:t>,</w:t>
      </w:r>
      <w:r w:rsidR="00C43CE7" w:rsidRPr="00F5210C">
        <w:rPr>
          <w:rFonts w:ascii="Bookman Old Style" w:hAnsi="Bookman Old Style" w:cs="Arial"/>
          <w:i/>
          <w:sz w:val="28"/>
          <w:szCs w:val="28"/>
        </w:rPr>
        <w:t xml:space="preserve"> </w:t>
      </w:r>
      <w:r w:rsidR="00C43CE7" w:rsidRPr="00F5210C">
        <w:rPr>
          <w:rFonts w:ascii="Bookman Old Style" w:hAnsi="Bookman Old Style" w:cs="Arial"/>
          <w:sz w:val="28"/>
          <w:szCs w:val="28"/>
        </w:rPr>
        <w:t>que demande una sanción de ineficacia negocial distinta de la prevista legalmente para esa precisa causa</w:t>
      </w:r>
      <w:r w:rsidR="00DD4584">
        <w:rPr>
          <w:rFonts w:ascii="Bookman Old Style" w:hAnsi="Bookman Old Style" w:cs="Arial"/>
          <w:sz w:val="28"/>
          <w:szCs w:val="28"/>
        </w:rPr>
        <w:t xml:space="preserve"> (</w:t>
      </w:r>
      <w:r w:rsidR="00C43CE7" w:rsidRPr="00F5210C">
        <w:rPr>
          <w:rFonts w:ascii="Bookman Old Style" w:hAnsi="Bookman Old Style" w:cs="Arial"/>
          <w:sz w:val="28"/>
          <w:szCs w:val="28"/>
        </w:rPr>
        <w:t xml:space="preserve">como ocurrió en el </w:t>
      </w:r>
      <w:r w:rsidR="00F87537" w:rsidRPr="00F5210C">
        <w:rPr>
          <w:rFonts w:ascii="Bookman Old Style" w:hAnsi="Bookman Old Style" w:cs="Arial"/>
          <w:sz w:val="28"/>
          <w:szCs w:val="28"/>
        </w:rPr>
        <w:t>plenario</w:t>
      </w:r>
      <w:r w:rsidR="00DD4584">
        <w:rPr>
          <w:rFonts w:ascii="Bookman Old Style" w:hAnsi="Bookman Old Style" w:cs="Arial"/>
          <w:sz w:val="28"/>
          <w:szCs w:val="28"/>
        </w:rPr>
        <w:t>).</w:t>
      </w:r>
      <w:r w:rsidR="00DD4584">
        <w:rPr>
          <w:rFonts w:ascii="Bookman Old Style" w:hAnsi="Bookman Old Style" w:cs="Arial"/>
          <w:iCs/>
          <w:sz w:val="28"/>
          <w:szCs w:val="28"/>
        </w:rPr>
        <w:t xml:space="preserve"> E</w:t>
      </w:r>
      <w:r w:rsidR="00FE0C21">
        <w:rPr>
          <w:rFonts w:ascii="Bookman Old Style" w:hAnsi="Bookman Old Style" w:cs="Arial"/>
          <w:iCs/>
          <w:sz w:val="28"/>
          <w:szCs w:val="28"/>
        </w:rPr>
        <w:t>sto es</w:t>
      </w:r>
      <w:r w:rsidR="00DD4584">
        <w:rPr>
          <w:rFonts w:ascii="Bookman Old Style" w:hAnsi="Bookman Old Style" w:cs="Arial"/>
          <w:iCs/>
          <w:sz w:val="28"/>
          <w:szCs w:val="28"/>
        </w:rPr>
        <w:t>,</w:t>
      </w:r>
      <w:r w:rsidR="00C43CE7" w:rsidRPr="00F5210C">
        <w:rPr>
          <w:rFonts w:ascii="Bookman Old Style" w:hAnsi="Bookman Old Style" w:cs="Arial"/>
          <w:sz w:val="28"/>
          <w:szCs w:val="28"/>
        </w:rPr>
        <w:t xml:space="preserve"> no está a su prudente juicio </w:t>
      </w:r>
      <w:r w:rsidR="00D45F39" w:rsidRPr="00F5210C">
        <w:rPr>
          <w:rFonts w:ascii="Bookman Old Style" w:hAnsi="Bookman Old Style" w:cs="Arial"/>
          <w:sz w:val="28"/>
          <w:szCs w:val="28"/>
        </w:rPr>
        <w:t xml:space="preserve">escoger cuál </w:t>
      </w:r>
      <w:r w:rsidR="00F87537" w:rsidRPr="00F5210C">
        <w:rPr>
          <w:rFonts w:ascii="Bookman Old Style" w:hAnsi="Bookman Old Style" w:cs="Arial"/>
          <w:sz w:val="28"/>
          <w:szCs w:val="28"/>
        </w:rPr>
        <w:t xml:space="preserve">acción </w:t>
      </w:r>
      <w:r w:rsidR="00D45F39" w:rsidRPr="00F5210C">
        <w:rPr>
          <w:rFonts w:ascii="Bookman Old Style" w:hAnsi="Bookman Old Style" w:cs="Arial"/>
          <w:sz w:val="28"/>
          <w:szCs w:val="28"/>
        </w:rPr>
        <w:t xml:space="preserve">le resulta más adecuada a sus </w:t>
      </w:r>
      <w:r w:rsidR="00D45F39" w:rsidRPr="00F5210C">
        <w:rPr>
          <w:rFonts w:ascii="Bookman Old Style" w:hAnsi="Bookman Old Style" w:cs="Arial"/>
          <w:sz w:val="28"/>
          <w:szCs w:val="28"/>
        </w:rPr>
        <w:lastRenderedPageBreak/>
        <w:t>propósitos económicos</w:t>
      </w:r>
      <w:r w:rsidR="006E4A2B" w:rsidRPr="00F5210C">
        <w:rPr>
          <w:rFonts w:ascii="Bookman Old Style" w:hAnsi="Bookman Old Style" w:cs="Arial"/>
          <w:sz w:val="28"/>
          <w:szCs w:val="28"/>
        </w:rPr>
        <w:t>, ya que «</w:t>
      </w:r>
      <w:r w:rsidR="006E4A2B" w:rsidRPr="00F5210C">
        <w:rPr>
          <w:rFonts w:ascii="Bookman Old Style" w:hAnsi="Bookman Old Style" w:cs="Arial"/>
          <w:i/>
          <w:sz w:val="28"/>
          <w:szCs w:val="28"/>
        </w:rPr>
        <w:t>no puede invocarse una con el fin de alcanzar las consecuencias propias de la otra»</w:t>
      </w:r>
      <w:r w:rsidR="009B7027" w:rsidRPr="00F5210C">
        <w:rPr>
          <w:rFonts w:ascii="Bookman Old Style" w:hAnsi="Bookman Old Style" w:cs="Arial"/>
          <w:i/>
          <w:sz w:val="28"/>
          <w:szCs w:val="28"/>
        </w:rPr>
        <w:t xml:space="preserve"> </w:t>
      </w:r>
      <w:r w:rsidR="009B7027" w:rsidRPr="00F5210C">
        <w:rPr>
          <w:rFonts w:ascii="Bookman Old Style" w:hAnsi="Bookman Old Style" w:cs="Arial"/>
          <w:sz w:val="28"/>
          <w:szCs w:val="28"/>
        </w:rPr>
        <w:t>(CSJ, sentencia 015 del 18 de febrero de</w:t>
      </w:r>
      <w:r w:rsidR="009B7027" w:rsidRPr="006222C7">
        <w:rPr>
          <w:rFonts w:ascii="Bookman Old Style" w:hAnsi="Bookman Old Style" w:cs="Arial"/>
          <w:sz w:val="28"/>
          <w:szCs w:val="28"/>
        </w:rPr>
        <w:t xml:space="preserve"> 1994).</w:t>
      </w:r>
      <w:r w:rsidR="00C43CE7" w:rsidRPr="006222C7">
        <w:rPr>
          <w:rFonts w:ascii="Bookman Old Style" w:hAnsi="Bookman Old Style" w:cs="Arial"/>
          <w:sz w:val="28"/>
          <w:szCs w:val="28"/>
        </w:rPr>
        <w:t xml:space="preserve"> </w:t>
      </w:r>
    </w:p>
    <w:p w14:paraId="1FB88F78" w14:textId="77777777" w:rsidR="006222C7" w:rsidRDefault="006222C7" w:rsidP="00DD4584">
      <w:pPr>
        <w:pStyle w:val="Subttulo"/>
        <w:jc w:val="both"/>
        <w:rPr>
          <w:rFonts w:ascii="Bookman Old Style" w:hAnsi="Bookman Old Style" w:cs="Arial"/>
          <w:b w:val="0"/>
          <w:sz w:val="28"/>
          <w:szCs w:val="28"/>
        </w:rPr>
      </w:pPr>
    </w:p>
    <w:p w14:paraId="0664BD6C" w14:textId="77777777" w:rsidR="00117241" w:rsidRDefault="00691DD1" w:rsidP="00734852">
      <w:pPr>
        <w:pStyle w:val="Subttulo"/>
        <w:ind w:firstLine="709"/>
        <w:jc w:val="both"/>
        <w:rPr>
          <w:rFonts w:ascii="Bookman Old Style" w:hAnsi="Bookman Old Style" w:cs="Arial"/>
          <w:b w:val="0"/>
          <w:sz w:val="28"/>
          <w:szCs w:val="28"/>
        </w:rPr>
      </w:pPr>
      <w:r>
        <w:rPr>
          <w:rFonts w:ascii="Bookman Old Style" w:hAnsi="Bookman Old Style" w:cs="Arial"/>
          <w:b w:val="0"/>
          <w:sz w:val="28"/>
          <w:szCs w:val="28"/>
        </w:rPr>
        <w:t>1</w:t>
      </w:r>
      <w:r w:rsidR="00BD0756">
        <w:rPr>
          <w:rFonts w:ascii="Bookman Old Style" w:hAnsi="Bookman Old Style" w:cs="Arial"/>
          <w:b w:val="0"/>
          <w:sz w:val="28"/>
          <w:szCs w:val="28"/>
        </w:rPr>
        <w:t>5</w:t>
      </w:r>
      <w:r>
        <w:rPr>
          <w:rFonts w:ascii="Bookman Old Style" w:hAnsi="Bookman Old Style" w:cs="Arial"/>
          <w:b w:val="0"/>
          <w:sz w:val="28"/>
          <w:szCs w:val="28"/>
        </w:rPr>
        <w:t xml:space="preserve">. </w:t>
      </w:r>
      <w:r w:rsidR="00B03E04">
        <w:rPr>
          <w:rFonts w:ascii="Bookman Old Style" w:hAnsi="Bookman Old Style" w:cs="Arial"/>
          <w:b w:val="0"/>
          <w:sz w:val="28"/>
          <w:szCs w:val="28"/>
        </w:rPr>
        <w:t>La</w:t>
      </w:r>
      <w:r w:rsidR="00117241">
        <w:rPr>
          <w:rFonts w:ascii="Bookman Old Style" w:hAnsi="Bookman Old Style" w:cs="Arial"/>
          <w:b w:val="0"/>
          <w:sz w:val="28"/>
          <w:szCs w:val="28"/>
        </w:rPr>
        <w:t xml:space="preserve"> Sala,</w:t>
      </w:r>
      <w:r w:rsidR="00B03E04">
        <w:rPr>
          <w:rFonts w:ascii="Bookman Old Style" w:hAnsi="Bookman Old Style" w:cs="Arial"/>
          <w:b w:val="0"/>
          <w:sz w:val="28"/>
          <w:szCs w:val="28"/>
        </w:rPr>
        <w:t xml:space="preserve"> </w:t>
      </w:r>
      <w:r w:rsidR="00DD4584">
        <w:rPr>
          <w:rFonts w:ascii="Bookman Old Style" w:hAnsi="Bookman Old Style" w:cs="Arial"/>
          <w:b w:val="0"/>
          <w:sz w:val="28"/>
          <w:szCs w:val="28"/>
        </w:rPr>
        <w:t xml:space="preserve">a propósito de la </w:t>
      </w:r>
      <w:r w:rsidR="00DD4584" w:rsidRPr="00DD4584">
        <w:rPr>
          <w:rFonts w:ascii="Bookman Old Style" w:hAnsi="Bookman Old Style" w:cs="Arial"/>
          <w:b w:val="0"/>
          <w:i/>
          <w:iCs/>
          <w:sz w:val="28"/>
          <w:szCs w:val="28"/>
        </w:rPr>
        <w:t>inoponibilidad</w:t>
      </w:r>
      <w:r w:rsidR="004830A3">
        <w:rPr>
          <w:rFonts w:ascii="Bookman Old Style" w:hAnsi="Bookman Old Style" w:cs="Arial"/>
          <w:b w:val="0"/>
          <w:sz w:val="28"/>
          <w:szCs w:val="28"/>
        </w:rPr>
        <w:t xml:space="preserve">, </w:t>
      </w:r>
      <w:r w:rsidR="00EA257F">
        <w:rPr>
          <w:rFonts w:ascii="Bookman Old Style" w:hAnsi="Bookman Old Style" w:cs="Arial"/>
          <w:b w:val="0"/>
          <w:sz w:val="28"/>
          <w:szCs w:val="28"/>
        </w:rPr>
        <w:t>expuso</w:t>
      </w:r>
      <w:r w:rsidR="004830A3">
        <w:rPr>
          <w:rFonts w:ascii="Bookman Old Style" w:hAnsi="Bookman Old Style" w:cs="Arial"/>
          <w:b w:val="0"/>
          <w:sz w:val="28"/>
          <w:szCs w:val="28"/>
        </w:rPr>
        <w:t xml:space="preserve"> lo siguiente</w:t>
      </w:r>
      <w:r w:rsidR="00EC2975">
        <w:rPr>
          <w:rFonts w:ascii="Bookman Old Style" w:hAnsi="Bookman Old Style" w:cs="Arial"/>
          <w:b w:val="0"/>
          <w:sz w:val="28"/>
          <w:szCs w:val="28"/>
        </w:rPr>
        <w:t>:</w:t>
      </w:r>
      <w:r w:rsidR="004830A3">
        <w:rPr>
          <w:rFonts w:ascii="Bookman Old Style" w:hAnsi="Bookman Old Style" w:cs="Arial"/>
          <w:b w:val="0"/>
          <w:sz w:val="28"/>
          <w:szCs w:val="28"/>
        </w:rPr>
        <w:t xml:space="preserve"> </w:t>
      </w:r>
      <w:r w:rsidR="00B03E04">
        <w:rPr>
          <w:rFonts w:ascii="Bookman Old Style" w:hAnsi="Bookman Old Style" w:cs="Arial"/>
          <w:b w:val="0"/>
          <w:sz w:val="28"/>
          <w:szCs w:val="28"/>
        </w:rPr>
        <w:t xml:space="preserve">   </w:t>
      </w:r>
    </w:p>
    <w:p w14:paraId="61C38F01" w14:textId="77777777" w:rsidR="00BD0756" w:rsidRDefault="00BD0756" w:rsidP="00EA257F">
      <w:pPr>
        <w:spacing w:line="360" w:lineRule="auto"/>
        <w:ind w:left="709"/>
        <w:jc w:val="both"/>
        <w:rPr>
          <w:rFonts w:ascii="Bookman Old Style" w:hAnsi="Bookman Old Style" w:cs="Arial"/>
          <w:i/>
          <w:sz w:val="24"/>
          <w:szCs w:val="24"/>
        </w:rPr>
      </w:pPr>
    </w:p>
    <w:p w14:paraId="2652111A" w14:textId="77777777" w:rsidR="008F1EDC" w:rsidRDefault="008F1EDC" w:rsidP="00EA257F">
      <w:pPr>
        <w:spacing w:line="360" w:lineRule="auto"/>
        <w:ind w:left="709"/>
        <w:jc w:val="both"/>
        <w:rPr>
          <w:rFonts w:ascii="Bookman Old Style" w:hAnsi="Bookman Old Style" w:cs="Arial"/>
          <w:i/>
          <w:sz w:val="24"/>
          <w:szCs w:val="24"/>
        </w:rPr>
      </w:pPr>
      <w:r w:rsidRPr="008F1EDC">
        <w:rPr>
          <w:rFonts w:ascii="Bookman Old Style" w:hAnsi="Bookman Old Style" w:cs="Arial"/>
          <w:i/>
          <w:sz w:val="24"/>
          <w:szCs w:val="24"/>
        </w:rPr>
        <w:t>2. - Precisadas de es</w:t>
      </w:r>
      <w:r w:rsidR="000B08F1">
        <w:rPr>
          <w:rFonts w:ascii="Bookman Old Style" w:hAnsi="Bookman Old Style" w:cs="Arial"/>
          <w:i/>
          <w:sz w:val="24"/>
          <w:szCs w:val="24"/>
        </w:rPr>
        <w:t>a</w:t>
      </w:r>
      <w:r w:rsidRPr="008F1EDC">
        <w:rPr>
          <w:rFonts w:ascii="Bookman Old Style" w:hAnsi="Bookman Old Style" w:cs="Arial"/>
          <w:i/>
          <w:sz w:val="24"/>
          <w:szCs w:val="24"/>
        </w:rPr>
        <w:t xml:space="preserve"> manera las cosas que vienen al caso, ahora no sólo es conveniente sino necesario memorar que l</w:t>
      </w:r>
      <w:r w:rsidR="000B08F1">
        <w:rPr>
          <w:rFonts w:ascii="Bookman Old Style" w:hAnsi="Bookman Old Style" w:cs="Arial"/>
          <w:i/>
          <w:sz w:val="24"/>
          <w:szCs w:val="24"/>
        </w:rPr>
        <w:t>a</w:t>
      </w:r>
      <w:r w:rsidRPr="008F1EDC">
        <w:rPr>
          <w:rFonts w:ascii="Bookman Old Style" w:hAnsi="Bookman Old Style" w:cs="Arial"/>
          <w:i/>
          <w:sz w:val="24"/>
          <w:szCs w:val="24"/>
        </w:rPr>
        <w:t xml:space="preserve"> figura jurídica de la inoponibilidad que encarna el fenómeno de la venta de cosa </w:t>
      </w:r>
      <w:r w:rsidR="004B691A" w:rsidRPr="008F1EDC">
        <w:rPr>
          <w:rFonts w:ascii="Bookman Old Style" w:hAnsi="Bookman Old Style" w:cs="Arial"/>
          <w:i/>
          <w:sz w:val="24"/>
          <w:szCs w:val="24"/>
        </w:rPr>
        <w:t>ajena</w:t>
      </w:r>
      <w:r w:rsidRPr="008F1EDC">
        <w:rPr>
          <w:rFonts w:ascii="Bookman Old Style" w:hAnsi="Bookman Old Style" w:cs="Arial"/>
          <w:i/>
          <w:sz w:val="24"/>
          <w:szCs w:val="24"/>
        </w:rPr>
        <w:t xml:space="preserve"> no tiene la virtud de destruir el contrato </w:t>
      </w:r>
      <w:r w:rsidR="00251A97" w:rsidRPr="008F1EDC">
        <w:rPr>
          <w:rFonts w:ascii="Bookman Old Style" w:hAnsi="Bookman Old Style" w:cs="Arial"/>
          <w:i/>
          <w:sz w:val="24"/>
          <w:szCs w:val="24"/>
        </w:rPr>
        <w:t>mismo, -</w:t>
      </w:r>
      <w:r w:rsidRPr="008F1EDC">
        <w:rPr>
          <w:rFonts w:ascii="Bookman Old Style" w:hAnsi="Bookman Old Style" w:cs="Arial"/>
          <w:i/>
          <w:sz w:val="24"/>
          <w:szCs w:val="24"/>
        </w:rPr>
        <w:t>porque su fundamento no está en hallarlo carente de validez; simplemente que los efectos dimanantes del contrato no alcanzan a los terceros. Es en esto, justamente, en lo que se diferencian sustancial y cardinalmente la nulidad y lo inoponibilidad, pues que al paso que en aquell</w:t>
      </w:r>
      <w:r w:rsidR="006F22BE">
        <w:rPr>
          <w:rFonts w:ascii="Bookman Old Style" w:hAnsi="Bookman Old Style" w:cs="Arial"/>
          <w:i/>
          <w:sz w:val="24"/>
          <w:szCs w:val="24"/>
        </w:rPr>
        <w:t>a</w:t>
      </w:r>
      <w:r w:rsidRPr="008F1EDC">
        <w:rPr>
          <w:rFonts w:ascii="Bookman Old Style" w:hAnsi="Bookman Old Style" w:cs="Arial"/>
          <w:i/>
          <w:sz w:val="24"/>
          <w:szCs w:val="24"/>
        </w:rPr>
        <w:t xml:space="preserve"> el contrato se aniquila en razón de lo cual se mirará en adelante como si jamás hubiese sido celebrado, en ésta el contrato subsiste, </w:t>
      </w:r>
      <w:r w:rsidRPr="008F1EDC">
        <w:rPr>
          <w:rFonts w:ascii="Bookman Old Style" w:hAnsi="Bookman Old Style" w:cs="Arial"/>
          <w:sz w:val="24"/>
          <w:szCs w:val="24"/>
        </w:rPr>
        <w:t>con eficacia restringida a las partes contratantes.</w:t>
      </w:r>
      <w:r w:rsidRPr="008F1EDC">
        <w:rPr>
          <w:rFonts w:ascii="Bookman Old Style" w:hAnsi="Bookman Old Style" w:cs="Arial"/>
          <w:i/>
          <w:sz w:val="24"/>
          <w:szCs w:val="24"/>
        </w:rPr>
        <w:t xml:space="preserve"> Estas, pues, seguirán sujetas al vínculo jurídico que creó el contrato; o sea, que -allí seguirá imperando el postulado de que lo pactado es ley para las partes contratantes, habida cuenta que sus relaciones para nada se -han alterado con la declaración de inoponibilidad. Lo que ocurre es que el tercero se pone a cubierto, con la certeza que entraña una decisión judicial, de los efectos del contrato por otros celebrado.</w:t>
      </w:r>
    </w:p>
    <w:p w14:paraId="3566CFF6" w14:textId="77777777" w:rsidR="00EC7286" w:rsidRDefault="00EC7286" w:rsidP="00EA257F">
      <w:pPr>
        <w:spacing w:line="360" w:lineRule="auto"/>
        <w:ind w:left="709"/>
        <w:jc w:val="both"/>
        <w:rPr>
          <w:rFonts w:ascii="Bookman Old Style" w:hAnsi="Bookman Old Style" w:cs="Arial"/>
          <w:i/>
          <w:sz w:val="24"/>
          <w:szCs w:val="24"/>
        </w:rPr>
      </w:pPr>
    </w:p>
    <w:p w14:paraId="4444EF14" w14:textId="77777777" w:rsidR="00EC7286" w:rsidRPr="009D1CA3" w:rsidRDefault="00EC7286" w:rsidP="009D1CA3">
      <w:pPr>
        <w:spacing w:line="360" w:lineRule="auto"/>
        <w:ind w:left="709"/>
        <w:jc w:val="both"/>
        <w:rPr>
          <w:rFonts w:ascii="Bookman Old Style" w:hAnsi="Bookman Old Style"/>
          <w:i/>
          <w:sz w:val="24"/>
          <w:szCs w:val="24"/>
          <w:u w:val="single"/>
        </w:rPr>
      </w:pPr>
      <w:r w:rsidRPr="009D1CA3">
        <w:rPr>
          <w:rFonts w:ascii="Bookman Old Style" w:hAnsi="Bookman Old Style"/>
          <w:i/>
          <w:sz w:val="24"/>
          <w:szCs w:val="24"/>
        </w:rPr>
        <w:t>Como corolario debe seguirse, así, que la actitud asumida luego por los contratantes qued</w:t>
      </w:r>
      <w:r w:rsidR="00D47211">
        <w:rPr>
          <w:rFonts w:ascii="Bookman Old Style" w:hAnsi="Bookman Old Style"/>
          <w:i/>
          <w:sz w:val="24"/>
          <w:szCs w:val="24"/>
        </w:rPr>
        <w:t>ó</w:t>
      </w:r>
      <w:r w:rsidRPr="009D1CA3">
        <w:rPr>
          <w:rFonts w:ascii="Bookman Old Style" w:hAnsi="Bookman Old Style"/>
          <w:i/>
          <w:sz w:val="24"/>
          <w:szCs w:val="24"/>
        </w:rPr>
        <w:t xml:space="preserve"> intacta; por manera </w:t>
      </w:r>
      <w:r w:rsidR="00771318" w:rsidRPr="009D1CA3">
        <w:rPr>
          <w:rFonts w:ascii="Bookman Old Style" w:hAnsi="Bookman Old Style"/>
          <w:i/>
          <w:sz w:val="24"/>
          <w:szCs w:val="24"/>
        </w:rPr>
        <w:t>que,</w:t>
      </w:r>
      <w:r w:rsidRPr="009D1CA3">
        <w:rPr>
          <w:rFonts w:ascii="Bookman Old Style" w:hAnsi="Bookman Old Style"/>
          <w:i/>
          <w:sz w:val="24"/>
          <w:szCs w:val="24"/>
        </w:rPr>
        <w:t xml:space="preserve"> si pese a que se vendió lo ajeno, tal venta fue objeto de inscripción en la Oficina de Registro de Instrumentos Públicos, ha de decirse que tampoco con ello se perjudican los derechos del verdadero dueño, desde luego que se trata de una anotación que también le es inoponible. Y, asimismo, tratándose de un</w:t>
      </w:r>
      <w:r w:rsidR="00D47211">
        <w:rPr>
          <w:rFonts w:ascii="Bookman Old Style" w:hAnsi="Bookman Old Style"/>
          <w:i/>
          <w:sz w:val="24"/>
          <w:szCs w:val="24"/>
        </w:rPr>
        <w:t>a</w:t>
      </w:r>
      <w:r w:rsidRPr="009D1CA3">
        <w:rPr>
          <w:rFonts w:ascii="Bookman Old Style" w:hAnsi="Bookman Old Style"/>
          <w:i/>
          <w:sz w:val="24"/>
          <w:szCs w:val="24"/>
        </w:rPr>
        <w:t xml:space="preserve"> mera inoponibilidad, </w:t>
      </w:r>
      <w:r w:rsidRPr="009D1CA3">
        <w:rPr>
          <w:rFonts w:ascii="Bookman Old Style" w:hAnsi="Bookman Old Style"/>
          <w:i/>
          <w:sz w:val="24"/>
          <w:szCs w:val="24"/>
        </w:rPr>
        <w:lastRenderedPageBreak/>
        <w:t>no hay lugar a su cancelación, -como sí procedería, de acuerdo con las explicaciones dad</w:t>
      </w:r>
      <w:r w:rsidR="0058067D">
        <w:rPr>
          <w:rFonts w:ascii="Bookman Old Style" w:hAnsi="Bookman Old Style"/>
          <w:i/>
          <w:sz w:val="24"/>
          <w:szCs w:val="24"/>
        </w:rPr>
        <w:t>a</w:t>
      </w:r>
      <w:r w:rsidRPr="009D1CA3">
        <w:rPr>
          <w:rFonts w:ascii="Bookman Old Style" w:hAnsi="Bookman Old Style"/>
          <w:i/>
          <w:sz w:val="24"/>
          <w:szCs w:val="24"/>
        </w:rPr>
        <w:t xml:space="preserve">s de comienzo, frente a la nulidad, puesto que siendo un acto ejecutado merced al contrato por otros celebrado, subsiste con efectos apenas inter-partes. Pero, eso sí, de cualquier </w:t>
      </w:r>
      <w:r w:rsidR="009D1CA3" w:rsidRPr="009D1CA3">
        <w:rPr>
          <w:rFonts w:ascii="Bookman Old Style" w:hAnsi="Bookman Old Style"/>
          <w:i/>
          <w:sz w:val="24"/>
          <w:szCs w:val="24"/>
        </w:rPr>
        <w:t>manera,</w:t>
      </w:r>
      <w:r w:rsidRPr="009D1CA3">
        <w:rPr>
          <w:rFonts w:ascii="Bookman Old Style" w:hAnsi="Bookman Old Style"/>
          <w:i/>
          <w:sz w:val="24"/>
          <w:szCs w:val="24"/>
        </w:rPr>
        <w:t xml:space="preserve"> allí se puede tomar nota de lo inoponibilidad, que fue lo exactamente declarado, resultando bastante al efecto -que el interesado obteng</w:t>
      </w:r>
      <w:r w:rsidR="001A6CAF">
        <w:rPr>
          <w:rFonts w:ascii="Bookman Old Style" w:hAnsi="Bookman Old Style"/>
          <w:i/>
          <w:sz w:val="24"/>
          <w:szCs w:val="24"/>
        </w:rPr>
        <w:t>a</w:t>
      </w:r>
      <w:r w:rsidRPr="009D1CA3">
        <w:rPr>
          <w:rFonts w:ascii="Bookman Old Style" w:hAnsi="Bookman Old Style"/>
          <w:i/>
          <w:sz w:val="24"/>
          <w:szCs w:val="24"/>
        </w:rPr>
        <w:t xml:space="preserve"> lo inscripción de lo sentencia respectiva</w:t>
      </w:r>
      <w:r w:rsidRPr="009D1CA3">
        <w:rPr>
          <w:rFonts w:ascii="Bookman Old Style" w:hAnsi="Bookman Old Style"/>
          <w:i/>
          <w:sz w:val="24"/>
          <w:szCs w:val="24"/>
          <w:u w:val="single"/>
        </w:rPr>
        <w:t>.</w:t>
      </w:r>
    </w:p>
    <w:p w14:paraId="23949C86" w14:textId="77777777" w:rsidR="0081209F" w:rsidRDefault="0081209F" w:rsidP="00F675FD">
      <w:pPr>
        <w:spacing w:line="360" w:lineRule="auto"/>
        <w:ind w:leftChars="354" w:left="708"/>
        <w:jc w:val="both"/>
        <w:rPr>
          <w:rFonts w:ascii="Bookman Old Style" w:hAnsi="Bookman Old Style" w:cs="Arial"/>
          <w:i/>
          <w:sz w:val="24"/>
          <w:szCs w:val="24"/>
        </w:rPr>
      </w:pPr>
    </w:p>
    <w:p w14:paraId="17457462" w14:textId="77777777" w:rsidR="000E1111" w:rsidRDefault="000E1111" w:rsidP="00F675FD">
      <w:pPr>
        <w:spacing w:line="360" w:lineRule="auto"/>
        <w:ind w:leftChars="354" w:left="708"/>
        <w:jc w:val="both"/>
        <w:rPr>
          <w:rFonts w:ascii="Bookman Old Style" w:hAnsi="Bookman Old Style" w:cs="Arial"/>
          <w:sz w:val="28"/>
          <w:szCs w:val="28"/>
        </w:rPr>
      </w:pPr>
      <w:r w:rsidRPr="000E1111">
        <w:rPr>
          <w:rFonts w:ascii="Bookman Old Style" w:hAnsi="Bookman Old Style" w:cs="Arial"/>
          <w:i/>
          <w:sz w:val="24"/>
          <w:szCs w:val="24"/>
        </w:rPr>
        <w:t xml:space="preserve">De suerte que cuando el sentenciador de segundo grado denegó lo petición atinente </w:t>
      </w:r>
      <w:r w:rsidR="00C16436">
        <w:rPr>
          <w:rFonts w:ascii="Bookman Old Style" w:hAnsi="Bookman Old Style" w:cs="Arial"/>
          <w:i/>
          <w:sz w:val="24"/>
          <w:szCs w:val="24"/>
        </w:rPr>
        <w:t>a</w:t>
      </w:r>
      <w:r w:rsidRPr="000E1111">
        <w:rPr>
          <w:rFonts w:ascii="Bookman Old Style" w:hAnsi="Bookman Old Style" w:cs="Arial"/>
          <w:i/>
          <w:sz w:val="24"/>
          <w:szCs w:val="24"/>
        </w:rPr>
        <w:t xml:space="preserve"> l</w:t>
      </w:r>
      <w:r w:rsidR="00C16436">
        <w:rPr>
          <w:rFonts w:ascii="Bookman Old Style" w:hAnsi="Bookman Old Style" w:cs="Arial"/>
          <w:i/>
          <w:sz w:val="24"/>
          <w:szCs w:val="24"/>
        </w:rPr>
        <w:t>a</w:t>
      </w:r>
      <w:r w:rsidRPr="000E1111">
        <w:rPr>
          <w:rFonts w:ascii="Bookman Old Style" w:hAnsi="Bookman Old Style" w:cs="Arial"/>
          <w:i/>
          <w:sz w:val="24"/>
          <w:szCs w:val="24"/>
        </w:rPr>
        <w:t xml:space="preserve"> cancelación de los distintos registros correspondientes o los negocios que declaró inoponibles, no anduvo infringiendo las normas sustanciales que señala el cargo</w:t>
      </w:r>
      <w:r>
        <w:rPr>
          <w:rFonts w:ascii="Bookman Old Style" w:hAnsi="Bookman Old Style" w:cs="Arial"/>
          <w:i/>
          <w:sz w:val="24"/>
          <w:szCs w:val="24"/>
        </w:rPr>
        <w:t xml:space="preserve"> </w:t>
      </w:r>
      <w:r>
        <w:rPr>
          <w:rFonts w:ascii="Bookman Old Style" w:hAnsi="Bookman Old Style" w:cs="Arial"/>
          <w:sz w:val="28"/>
          <w:szCs w:val="28"/>
        </w:rPr>
        <w:t>(CSJ.  Sent. 18 de febrero de 1994).</w:t>
      </w:r>
      <w:r w:rsidR="00F675FD">
        <w:rPr>
          <w:rFonts w:ascii="Bookman Old Style" w:hAnsi="Bookman Old Style" w:cs="Arial"/>
          <w:sz w:val="28"/>
          <w:szCs w:val="28"/>
        </w:rPr>
        <w:t xml:space="preserve"> </w:t>
      </w:r>
    </w:p>
    <w:p w14:paraId="5E8E93D0" w14:textId="77777777" w:rsidR="00F675FD" w:rsidRDefault="00F675FD" w:rsidP="000E1111">
      <w:pPr>
        <w:spacing w:line="360" w:lineRule="auto"/>
        <w:ind w:leftChars="709" w:left="1418" w:firstLine="709"/>
        <w:jc w:val="both"/>
        <w:rPr>
          <w:rFonts w:ascii="Bookman Old Style" w:hAnsi="Bookman Old Style" w:cs="Arial"/>
          <w:sz w:val="28"/>
          <w:szCs w:val="28"/>
        </w:rPr>
      </w:pPr>
    </w:p>
    <w:p w14:paraId="1EC985F4" w14:textId="77777777" w:rsidR="0080741C" w:rsidRDefault="004B41DB" w:rsidP="00576ABA">
      <w:pPr>
        <w:spacing w:line="360" w:lineRule="auto"/>
        <w:ind w:firstLine="709"/>
        <w:jc w:val="both"/>
        <w:rPr>
          <w:rFonts w:ascii="Bookman Old Style" w:hAnsi="Bookman Old Style" w:cs="Arial"/>
          <w:sz w:val="28"/>
          <w:szCs w:val="28"/>
        </w:rPr>
      </w:pPr>
      <w:r>
        <w:rPr>
          <w:rFonts w:ascii="Bookman Old Style" w:hAnsi="Bookman Old Style" w:cs="Arial"/>
          <w:sz w:val="28"/>
          <w:szCs w:val="28"/>
        </w:rPr>
        <w:t>1</w:t>
      </w:r>
      <w:r w:rsidR="004922D7">
        <w:rPr>
          <w:rFonts w:ascii="Bookman Old Style" w:hAnsi="Bookman Old Style" w:cs="Arial"/>
          <w:sz w:val="28"/>
          <w:szCs w:val="28"/>
        </w:rPr>
        <w:t>6</w:t>
      </w:r>
      <w:r>
        <w:rPr>
          <w:rFonts w:ascii="Bookman Old Style" w:hAnsi="Bookman Old Style" w:cs="Arial"/>
          <w:sz w:val="28"/>
          <w:szCs w:val="28"/>
        </w:rPr>
        <w:t>. Es evidente entonces</w:t>
      </w:r>
      <w:r w:rsidR="00D63353">
        <w:rPr>
          <w:rFonts w:ascii="Bookman Old Style" w:hAnsi="Bookman Old Style" w:cs="Arial"/>
          <w:sz w:val="28"/>
          <w:szCs w:val="28"/>
        </w:rPr>
        <w:t xml:space="preserve">, </w:t>
      </w:r>
      <w:r>
        <w:rPr>
          <w:rFonts w:ascii="Bookman Old Style" w:hAnsi="Bookman Old Style" w:cs="Arial"/>
          <w:sz w:val="28"/>
          <w:szCs w:val="28"/>
        </w:rPr>
        <w:t>que</w:t>
      </w:r>
      <w:r w:rsidR="00F2528B">
        <w:rPr>
          <w:rFonts w:ascii="Bookman Old Style" w:hAnsi="Bookman Old Style" w:cs="Arial"/>
          <w:sz w:val="28"/>
          <w:szCs w:val="28"/>
        </w:rPr>
        <w:t xml:space="preserve"> </w:t>
      </w:r>
      <w:r w:rsidR="00D63353">
        <w:rPr>
          <w:rFonts w:ascii="Bookman Old Style" w:hAnsi="Bookman Old Style" w:cs="Arial"/>
          <w:sz w:val="28"/>
          <w:szCs w:val="28"/>
        </w:rPr>
        <w:t xml:space="preserve">el </w:t>
      </w:r>
      <w:r w:rsidR="00DD4584">
        <w:rPr>
          <w:rFonts w:ascii="Bookman Old Style" w:hAnsi="Bookman Old Style" w:cs="Arial"/>
          <w:sz w:val="28"/>
          <w:szCs w:val="28"/>
        </w:rPr>
        <w:t>T</w:t>
      </w:r>
      <w:r w:rsidR="00042874">
        <w:rPr>
          <w:rFonts w:ascii="Bookman Old Style" w:hAnsi="Bookman Old Style" w:cs="Arial"/>
          <w:sz w:val="28"/>
          <w:szCs w:val="28"/>
        </w:rPr>
        <w:t>ribunal</w:t>
      </w:r>
      <w:r w:rsidR="00B053E0">
        <w:rPr>
          <w:rFonts w:ascii="Bookman Old Style" w:hAnsi="Bookman Old Style" w:cs="Arial"/>
          <w:sz w:val="28"/>
          <w:szCs w:val="28"/>
        </w:rPr>
        <w:t>,</w:t>
      </w:r>
      <w:r w:rsidR="00042874">
        <w:rPr>
          <w:rFonts w:ascii="Bookman Old Style" w:hAnsi="Bookman Old Style" w:cs="Arial"/>
          <w:sz w:val="28"/>
          <w:szCs w:val="28"/>
        </w:rPr>
        <w:t xml:space="preserve"> con la decisión controvertida</w:t>
      </w:r>
      <w:r w:rsidR="00B053E0">
        <w:rPr>
          <w:rFonts w:ascii="Bookman Old Style" w:hAnsi="Bookman Old Style" w:cs="Arial"/>
          <w:sz w:val="28"/>
          <w:szCs w:val="28"/>
        </w:rPr>
        <w:t>,</w:t>
      </w:r>
      <w:r w:rsidR="00042874">
        <w:rPr>
          <w:rFonts w:ascii="Bookman Old Style" w:hAnsi="Bookman Old Style" w:cs="Arial"/>
          <w:sz w:val="28"/>
          <w:szCs w:val="28"/>
        </w:rPr>
        <w:t xml:space="preserve"> violó directamente el artículo 1775 del C.C., al realizar una interpretación errada del </w:t>
      </w:r>
      <w:r w:rsidR="00576ABA">
        <w:rPr>
          <w:rFonts w:ascii="Bookman Old Style" w:hAnsi="Bookman Old Style" w:cs="Arial"/>
          <w:sz w:val="28"/>
          <w:szCs w:val="28"/>
        </w:rPr>
        <w:t>mismo, que</w:t>
      </w:r>
      <w:r w:rsidR="00042874">
        <w:rPr>
          <w:rFonts w:ascii="Bookman Old Style" w:hAnsi="Bookman Old Style" w:cs="Arial"/>
          <w:sz w:val="28"/>
          <w:szCs w:val="28"/>
        </w:rPr>
        <w:t xml:space="preserve"> lo condujo a revocar la sentencia del </w:t>
      </w:r>
      <w:r w:rsidR="00042874" w:rsidRPr="004B41DB">
        <w:rPr>
          <w:rFonts w:ascii="Bookman Old Style" w:hAnsi="Bookman Old Style" w:cs="Arial"/>
          <w:i/>
          <w:sz w:val="28"/>
          <w:szCs w:val="28"/>
        </w:rPr>
        <w:t>a-quo</w:t>
      </w:r>
      <w:r w:rsidR="00042874">
        <w:rPr>
          <w:rFonts w:ascii="Bookman Old Style" w:hAnsi="Bookman Old Style" w:cs="Arial"/>
          <w:sz w:val="28"/>
          <w:szCs w:val="28"/>
        </w:rPr>
        <w:t xml:space="preserve"> y negar la pretensión de </w:t>
      </w:r>
      <w:r w:rsidR="00042874" w:rsidRPr="001F056A">
        <w:rPr>
          <w:rFonts w:ascii="Bookman Old Style" w:hAnsi="Bookman Old Style" w:cs="Arial"/>
          <w:i/>
          <w:iCs/>
          <w:sz w:val="28"/>
          <w:szCs w:val="28"/>
        </w:rPr>
        <w:t>inoponibilidad</w:t>
      </w:r>
      <w:r w:rsidR="00042874">
        <w:rPr>
          <w:rFonts w:ascii="Bookman Old Style" w:hAnsi="Bookman Old Style" w:cs="Arial"/>
          <w:sz w:val="28"/>
          <w:szCs w:val="28"/>
        </w:rPr>
        <w:t xml:space="preserve"> suplicada por el actor</w:t>
      </w:r>
      <w:r w:rsidR="00812F37">
        <w:rPr>
          <w:rFonts w:ascii="Bookman Old Style" w:hAnsi="Bookman Old Style" w:cs="Arial"/>
          <w:sz w:val="28"/>
          <w:szCs w:val="28"/>
        </w:rPr>
        <w:t xml:space="preserve">. </w:t>
      </w:r>
    </w:p>
    <w:p w14:paraId="3424B0FE" w14:textId="77777777" w:rsidR="00B053E0" w:rsidRDefault="00B053E0" w:rsidP="00576ABA">
      <w:pPr>
        <w:spacing w:line="360" w:lineRule="auto"/>
        <w:ind w:firstLine="709"/>
        <w:jc w:val="both"/>
        <w:rPr>
          <w:rFonts w:ascii="Bookman Old Style" w:hAnsi="Bookman Old Style" w:cs="Arial"/>
          <w:sz w:val="28"/>
          <w:szCs w:val="28"/>
        </w:rPr>
      </w:pPr>
    </w:p>
    <w:p w14:paraId="7EA6C175" w14:textId="77777777" w:rsidR="00E75E00" w:rsidRPr="001F056A" w:rsidRDefault="00D245E4" w:rsidP="001F056A">
      <w:pPr>
        <w:pStyle w:val="Subttulo"/>
        <w:ind w:firstLine="709"/>
        <w:jc w:val="both"/>
        <w:rPr>
          <w:rFonts w:ascii="Bookman Old Style" w:hAnsi="Bookman Old Style" w:cs="Arial"/>
          <w:b w:val="0"/>
          <w:sz w:val="28"/>
          <w:szCs w:val="28"/>
        </w:rPr>
      </w:pPr>
      <w:r>
        <w:rPr>
          <w:rFonts w:ascii="Bookman Old Style" w:hAnsi="Bookman Old Style" w:cs="Arial"/>
          <w:b w:val="0"/>
          <w:sz w:val="28"/>
          <w:szCs w:val="28"/>
        </w:rPr>
        <w:t>1</w:t>
      </w:r>
      <w:r w:rsidR="000C7C5A">
        <w:rPr>
          <w:rFonts w:ascii="Bookman Old Style" w:hAnsi="Bookman Old Style" w:cs="Arial"/>
          <w:b w:val="0"/>
          <w:sz w:val="28"/>
          <w:szCs w:val="28"/>
        </w:rPr>
        <w:t>7</w:t>
      </w:r>
      <w:r>
        <w:rPr>
          <w:rFonts w:ascii="Bookman Old Style" w:hAnsi="Bookman Old Style" w:cs="Arial"/>
          <w:b w:val="0"/>
          <w:sz w:val="28"/>
          <w:szCs w:val="28"/>
        </w:rPr>
        <w:t>.</w:t>
      </w:r>
      <w:r w:rsidR="001F056A">
        <w:rPr>
          <w:rFonts w:ascii="Bookman Old Style" w:hAnsi="Bookman Old Style" w:cs="Arial"/>
          <w:b w:val="0"/>
          <w:sz w:val="28"/>
          <w:szCs w:val="28"/>
        </w:rPr>
        <w:t xml:space="preserve"> </w:t>
      </w:r>
      <w:r w:rsidR="001F056A" w:rsidRPr="001F056A">
        <w:rPr>
          <w:rFonts w:ascii="Bookman Old Style" w:hAnsi="Bookman Old Style" w:cs="Arial"/>
          <w:b w:val="0"/>
          <w:sz w:val="28"/>
          <w:szCs w:val="28"/>
        </w:rPr>
        <w:t>Por lo demás</w:t>
      </w:r>
      <w:r w:rsidR="00812F37" w:rsidRPr="001F056A">
        <w:rPr>
          <w:rFonts w:ascii="Bookman Old Style" w:hAnsi="Bookman Old Style" w:cs="Arial"/>
          <w:b w:val="0"/>
          <w:sz w:val="28"/>
          <w:szCs w:val="28"/>
        </w:rPr>
        <w:t xml:space="preserve">, </w:t>
      </w:r>
      <w:r w:rsidR="00B053E0" w:rsidRPr="001F056A">
        <w:rPr>
          <w:rFonts w:ascii="Bookman Old Style" w:hAnsi="Bookman Old Style" w:cs="Arial"/>
          <w:b w:val="0"/>
          <w:sz w:val="28"/>
          <w:szCs w:val="28"/>
        </w:rPr>
        <w:t>erró</w:t>
      </w:r>
      <w:r w:rsidR="00812F37" w:rsidRPr="001F056A">
        <w:rPr>
          <w:rFonts w:ascii="Bookman Old Style" w:hAnsi="Bookman Old Style" w:cs="Arial"/>
          <w:b w:val="0"/>
          <w:sz w:val="28"/>
          <w:szCs w:val="28"/>
        </w:rPr>
        <w:t xml:space="preserve"> el </w:t>
      </w:r>
      <w:r w:rsidR="00812F37" w:rsidRPr="001F056A">
        <w:rPr>
          <w:rFonts w:ascii="Bookman Old Style" w:hAnsi="Bookman Old Style" w:cs="Arial"/>
          <w:b w:val="0"/>
          <w:i/>
          <w:sz w:val="28"/>
          <w:szCs w:val="28"/>
        </w:rPr>
        <w:t xml:space="preserve">ad quem </w:t>
      </w:r>
      <w:r w:rsidR="00812F37" w:rsidRPr="001F056A">
        <w:rPr>
          <w:rFonts w:ascii="Bookman Old Style" w:hAnsi="Bookman Old Style" w:cs="Arial"/>
          <w:b w:val="0"/>
          <w:sz w:val="28"/>
          <w:szCs w:val="28"/>
        </w:rPr>
        <w:t xml:space="preserve">al calificar la pretensión de </w:t>
      </w:r>
      <w:r w:rsidR="00812F37" w:rsidRPr="00E030BB">
        <w:rPr>
          <w:rFonts w:ascii="Bookman Old Style" w:hAnsi="Bookman Old Style" w:cs="Arial"/>
          <w:b w:val="0"/>
          <w:i/>
          <w:iCs/>
          <w:sz w:val="28"/>
          <w:szCs w:val="28"/>
        </w:rPr>
        <w:t>inoponibilidad</w:t>
      </w:r>
      <w:r w:rsidR="00812F37" w:rsidRPr="001F056A">
        <w:rPr>
          <w:rFonts w:ascii="Bookman Old Style" w:hAnsi="Bookman Old Style" w:cs="Arial"/>
          <w:b w:val="0"/>
          <w:sz w:val="28"/>
          <w:szCs w:val="28"/>
        </w:rPr>
        <w:t xml:space="preserve"> de inidónea</w:t>
      </w:r>
      <w:r w:rsidR="006D6E63" w:rsidRPr="001F056A">
        <w:rPr>
          <w:rFonts w:ascii="Bookman Old Style" w:hAnsi="Bookman Old Style" w:cs="Arial"/>
          <w:b w:val="0"/>
          <w:sz w:val="28"/>
          <w:szCs w:val="28"/>
        </w:rPr>
        <w:t xml:space="preserve"> por la mera circunstancia</w:t>
      </w:r>
      <w:r w:rsidR="006C153C" w:rsidRPr="001F056A">
        <w:rPr>
          <w:rFonts w:ascii="Bookman Old Style" w:hAnsi="Bookman Old Style" w:cs="Arial"/>
          <w:b w:val="0"/>
          <w:sz w:val="28"/>
          <w:szCs w:val="28"/>
        </w:rPr>
        <w:t xml:space="preserve"> </w:t>
      </w:r>
      <w:r w:rsidR="006D6E63" w:rsidRPr="001F056A">
        <w:rPr>
          <w:rFonts w:ascii="Bookman Old Style" w:hAnsi="Bookman Old Style" w:cs="Arial"/>
          <w:b w:val="0"/>
          <w:sz w:val="28"/>
          <w:szCs w:val="28"/>
        </w:rPr>
        <w:t xml:space="preserve">de que ha generado efectos que no pueden aniquilarse o deshacerse con la simple declaración </w:t>
      </w:r>
      <w:r w:rsidR="00C3371A" w:rsidRPr="001F056A">
        <w:rPr>
          <w:rFonts w:ascii="Bookman Old Style" w:hAnsi="Bookman Old Style" w:cs="Arial"/>
          <w:b w:val="0"/>
          <w:sz w:val="28"/>
          <w:szCs w:val="28"/>
        </w:rPr>
        <w:t xml:space="preserve">que </w:t>
      </w:r>
      <w:r w:rsidR="006D6E63" w:rsidRPr="001F056A">
        <w:rPr>
          <w:rFonts w:ascii="Bookman Old Style" w:hAnsi="Bookman Old Style" w:cs="Arial"/>
          <w:b w:val="0"/>
          <w:sz w:val="28"/>
          <w:szCs w:val="28"/>
        </w:rPr>
        <w:t>en ese sentido</w:t>
      </w:r>
      <w:r w:rsidR="00DD5527" w:rsidRPr="001F056A">
        <w:rPr>
          <w:rFonts w:ascii="Bookman Old Style" w:hAnsi="Bookman Old Style" w:cs="Arial"/>
          <w:b w:val="0"/>
          <w:sz w:val="28"/>
          <w:szCs w:val="28"/>
        </w:rPr>
        <w:t xml:space="preserve"> se hiciere, porque</w:t>
      </w:r>
      <w:r w:rsidR="006D6E63" w:rsidRPr="001F056A">
        <w:rPr>
          <w:rFonts w:ascii="Bookman Old Style" w:hAnsi="Bookman Old Style" w:cs="Arial"/>
          <w:b w:val="0"/>
          <w:sz w:val="28"/>
          <w:szCs w:val="28"/>
        </w:rPr>
        <w:t xml:space="preserve"> los bienes comprendidos en la </w:t>
      </w:r>
      <w:r w:rsidR="001F056A" w:rsidRPr="001F056A">
        <w:rPr>
          <w:rFonts w:ascii="Bookman Old Style" w:hAnsi="Bookman Old Style" w:cs="Arial"/>
          <w:b w:val="0"/>
          <w:sz w:val="28"/>
          <w:szCs w:val="28"/>
        </w:rPr>
        <w:t>relatada</w:t>
      </w:r>
      <w:r w:rsidR="006D6E63" w:rsidRPr="001F056A">
        <w:rPr>
          <w:rFonts w:ascii="Bookman Old Style" w:hAnsi="Bookman Old Style" w:cs="Arial"/>
          <w:b w:val="0"/>
          <w:sz w:val="28"/>
          <w:szCs w:val="28"/>
        </w:rPr>
        <w:t xml:space="preserve"> renuncia de gananciales se encuentran en cabeza exclusiva de la demandada Mary Hernández de Gómez.</w:t>
      </w:r>
      <w:r w:rsidR="001F056A">
        <w:rPr>
          <w:rFonts w:ascii="Bookman Old Style" w:hAnsi="Bookman Old Style" w:cs="Arial"/>
          <w:b w:val="0"/>
          <w:sz w:val="28"/>
          <w:szCs w:val="28"/>
        </w:rPr>
        <w:t xml:space="preserve"> En efecto, pasó por alto </w:t>
      </w:r>
      <w:r w:rsidR="006D6E63" w:rsidRPr="001F056A">
        <w:rPr>
          <w:rFonts w:ascii="Bookman Old Style" w:hAnsi="Bookman Old Style" w:cs="Arial"/>
          <w:b w:val="0"/>
          <w:bCs/>
          <w:sz w:val="28"/>
          <w:szCs w:val="28"/>
        </w:rPr>
        <w:t xml:space="preserve">que la declaración de </w:t>
      </w:r>
      <w:r w:rsidR="006D6E63" w:rsidRPr="001F056A">
        <w:rPr>
          <w:rFonts w:ascii="Bookman Old Style" w:hAnsi="Bookman Old Style" w:cs="Arial"/>
          <w:b w:val="0"/>
          <w:bCs/>
          <w:i/>
          <w:iCs/>
          <w:sz w:val="28"/>
          <w:szCs w:val="28"/>
        </w:rPr>
        <w:t>inoponibilidad</w:t>
      </w:r>
      <w:r w:rsidR="006D6E63" w:rsidRPr="001F056A">
        <w:rPr>
          <w:rFonts w:ascii="Bookman Old Style" w:hAnsi="Bookman Old Style" w:cs="Arial"/>
          <w:b w:val="0"/>
          <w:bCs/>
          <w:sz w:val="28"/>
          <w:szCs w:val="28"/>
        </w:rPr>
        <w:t xml:space="preserve"> respecto de la renuncia del derecho a gananciales se configura </w:t>
      </w:r>
      <w:r w:rsidR="00DD5527" w:rsidRPr="001F056A">
        <w:rPr>
          <w:rFonts w:ascii="Bookman Old Style" w:hAnsi="Bookman Old Style" w:cs="Arial"/>
          <w:b w:val="0"/>
          <w:bCs/>
          <w:sz w:val="28"/>
          <w:szCs w:val="28"/>
        </w:rPr>
        <w:t xml:space="preserve">una vez se realice el </w:t>
      </w:r>
      <w:r w:rsidR="00DD5527" w:rsidRPr="001F056A">
        <w:rPr>
          <w:rFonts w:ascii="Bookman Old Style" w:hAnsi="Bookman Old Style" w:cs="Arial"/>
          <w:b w:val="0"/>
          <w:bCs/>
          <w:i/>
          <w:iCs/>
          <w:sz w:val="28"/>
          <w:szCs w:val="28"/>
        </w:rPr>
        <w:t>factum</w:t>
      </w:r>
      <w:r w:rsidR="00DD5527" w:rsidRPr="001F056A">
        <w:rPr>
          <w:rFonts w:ascii="Bookman Old Style" w:hAnsi="Bookman Old Style" w:cs="Arial"/>
          <w:b w:val="0"/>
          <w:bCs/>
          <w:sz w:val="28"/>
          <w:szCs w:val="28"/>
        </w:rPr>
        <w:t xml:space="preserve"> de </w:t>
      </w:r>
      <w:r w:rsidR="00FD6595" w:rsidRPr="001F056A">
        <w:rPr>
          <w:rFonts w:ascii="Bookman Old Style" w:hAnsi="Bookman Old Style" w:cs="Arial"/>
          <w:b w:val="0"/>
          <w:bCs/>
          <w:sz w:val="28"/>
          <w:szCs w:val="28"/>
        </w:rPr>
        <w:t>la norma</w:t>
      </w:r>
      <w:r w:rsidR="00594758" w:rsidRPr="001F056A">
        <w:rPr>
          <w:rFonts w:ascii="Bookman Old Style" w:hAnsi="Bookman Old Style" w:cs="Arial"/>
          <w:b w:val="0"/>
          <w:bCs/>
          <w:sz w:val="28"/>
          <w:szCs w:val="28"/>
        </w:rPr>
        <w:t>:</w:t>
      </w:r>
      <w:r w:rsidR="00FD6595" w:rsidRPr="001F056A">
        <w:rPr>
          <w:rFonts w:ascii="Bookman Old Style" w:hAnsi="Bookman Old Style" w:cs="Arial"/>
          <w:b w:val="0"/>
          <w:bCs/>
          <w:sz w:val="28"/>
          <w:szCs w:val="28"/>
        </w:rPr>
        <w:t xml:space="preserve"> </w:t>
      </w:r>
      <w:r w:rsidR="00B234D2" w:rsidRPr="001F056A">
        <w:rPr>
          <w:rFonts w:ascii="Bookman Old Style" w:hAnsi="Bookman Old Style" w:cs="Arial"/>
          <w:b w:val="0"/>
          <w:bCs/>
          <w:sz w:val="28"/>
          <w:szCs w:val="28"/>
        </w:rPr>
        <w:t>perjuicio</w:t>
      </w:r>
      <w:r w:rsidR="00FD6595" w:rsidRPr="001F056A">
        <w:rPr>
          <w:rFonts w:ascii="Bookman Old Style" w:hAnsi="Bookman Old Style" w:cs="Arial"/>
          <w:b w:val="0"/>
          <w:bCs/>
          <w:sz w:val="28"/>
          <w:szCs w:val="28"/>
        </w:rPr>
        <w:t xml:space="preserve"> </w:t>
      </w:r>
      <w:r w:rsidR="00FD6595" w:rsidRPr="001F056A">
        <w:rPr>
          <w:rFonts w:ascii="Bookman Old Style" w:hAnsi="Bookman Old Style" w:cs="Arial"/>
          <w:b w:val="0"/>
          <w:bCs/>
          <w:sz w:val="28"/>
          <w:szCs w:val="28"/>
        </w:rPr>
        <w:lastRenderedPageBreak/>
        <w:t>a terceros</w:t>
      </w:r>
      <w:r w:rsidR="001F056A">
        <w:rPr>
          <w:rFonts w:ascii="Bookman Old Style" w:hAnsi="Bookman Old Style" w:cs="Arial"/>
          <w:b w:val="0"/>
          <w:bCs/>
          <w:sz w:val="28"/>
          <w:szCs w:val="28"/>
        </w:rPr>
        <w:t xml:space="preserve"> -</w:t>
      </w:r>
      <w:r w:rsidR="00FD6595" w:rsidRPr="001F056A">
        <w:rPr>
          <w:rFonts w:ascii="Bookman Old Style" w:hAnsi="Bookman Old Style" w:cs="Arial"/>
          <w:b w:val="0"/>
          <w:bCs/>
          <w:sz w:val="28"/>
          <w:szCs w:val="28"/>
        </w:rPr>
        <w:t xml:space="preserve">sin </w:t>
      </w:r>
      <w:r w:rsidR="002D05E7" w:rsidRPr="001F056A">
        <w:rPr>
          <w:rFonts w:ascii="Bookman Old Style" w:hAnsi="Bookman Old Style" w:cs="Arial"/>
          <w:b w:val="0"/>
          <w:bCs/>
          <w:sz w:val="28"/>
          <w:szCs w:val="28"/>
        </w:rPr>
        <w:t xml:space="preserve">que haya lugar a </w:t>
      </w:r>
      <w:r w:rsidR="00FD6595" w:rsidRPr="001F056A">
        <w:rPr>
          <w:rFonts w:ascii="Bookman Old Style" w:hAnsi="Bookman Old Style" w:cs="Arial"/>
          <w:b w:val="0"/>
          <w:bCs/>
          <w:sz w:val="28"/>
          <w:szCs w:val="28"/>
        </w:rPr>
        <w:t>cualquier otra consideración</w:t>
      </w:r>
      <w:r w:rsidR="002D05E7" w:rsidRPr="001F056A">
        <w:rPr>
          <w:rFonts w:ascii="Bookman Old Style" w:hAnsi="Bookman Old Style" w:cs="Arial"/>
          <w:b w:val="0"/>
          <w:bCs/>
          <w:sz w:val="28"/>
          <w:szCs w:val="28"/>
        </w:rPr>
        <w:t xml:space="preserve"> práctica</w:t>
      </w:r>
      <w:r w:rsidR="001F056A">
        <w:rPr>
          <w:rFonts w:ascii="Bookman Old Style" w:hAnsi="Bookman Old Style" w:cs="Arial"/>
          <w:b w:val="0"/>
          <w:bCs/>
          <w:sz w:val="28"/>
          <w:szCs w:val="28"/>
        </w:rPr>
        <w:t>-</w:t>
      </w:r>
      <w:r w:rsidR="00FD6595" w:rsidRPr="001F056A">
        <w:rPr>
          <w:rFonts w:ascii="Bookman Old Style" w:hAnsi="Bookman Old Style" w:cs="Arial"/>
          <w:b w:val="0"/>
          <w:bCs/>
          <w:sz w:val="28"/>
          <w:szCs w:val="28"/>
        </w:rPr>
        <w:t>.</w:t>
      </w:r>
    </w:p>
    <w:p w14:paraId="5E58A6C1" w14:textId="77777777" w:rsidR="00B234D2" w:rsidRDefault="006D6E63" w:rsidP="00F675FD">
      <w:pPr>
        <w:spacing w:line="360" w:lineRule="auto"/>
        <w:ind w:firstLine="709"/>
        <w:jc w:val="both"/>
        <w:rPr>
          <w:rFonts w:ascii="Bookman Old Style" w:hAnsi="Bookman Old Style" w:cs="Arial"/>
          <w:sz w:val="28"/>
          <w:szCs w:val="28"/>
        </w:rPr>
      </w:pPr>
      <w:r>
        <w:rPr>
          <w:rFonts w:ascii="Bookman Old Style" w:hAnsi="Bookman Old Style" w:cs="Arial"/>
          <w:sz w:val="28"/>
          <w:szCs w:val="28"/>
        </w:rPr>
        <w:t xml:space="preserve"> </w:t>
      </w:r>
      <w:r w:rsidR="00812F37">
        <w:rPr>
          <w:rFonts w:ascii="Bookman Old Style" w:hAnsi="Bookman Old Style" w:cs="Arial"/>
          <w:sz w:val="28"/>
          <w:szCs w:val="28"/>
        </w:rPr>
        <w:t xml:space="preserve">  </w:t>
      </w:r>
    </w:p>
    <w:p w14:paraId="0A0220B2" w14:textId="77777777" w:rsidR="00AC3C4D" w:rsidRDefault="009D0524" w:rsidP="00AF5DF2">
      <w:pPr>
        <w:spacing w:line="360" w:lineRule="auto"/>
        <w:ind w:firstLine="709"/>
        <w:jc w:val="both"/>
        <w:rPr>
          <w:rFonts w:ascii="Bookman Old Style" w:hAnsi="Bookman Old Style" w:cs="Arial"/>
          <w:sz w:val="28"/>
          <w:szCs w:val="28"/>
        </w:rPr>
      </w:pPr>
      <w:r>
        <w:rPr>
          <w:rFonts w:ascii="Bookman Old Style" w:hAnsi="Bookman Old Style" w:cs="Arial"/>
          <w:sz w:val="28"/>
          <w:szCs w:val="28"/>
        </w:rPr>
        <w:t>1</w:t>
      </w:r>
      <w:r w:rsidR="00CF00F9">
        <w:rPr>
          <w:rFonts w:ascii="Bookman Old Style" w:hAnsi="Bookman Old Style" w:cs="Arial"/>
          <w:sz w:val="28"/>
          <w:szCs w:val="28"/>
        </w:rPr>
        <w:t>8</w:t>
      </w:r>
      <w:r>
        <w:rPr>
          <w:rFonts w:ascii="Bookman Old Style" w:hAnsi="Bookman Old Style" w:cs="Arial"/>
          <w:sz w:val="28"/>
          <w:szCs w:val="28"/>
        </w:rPr>
        <w:t xml:space="preserve">. </w:t>
      </w:r>
      <w:r w:rsidR="00DE6D36">
        <w:rPr>
          <w:rFonts w:ascii="Bookman Old Style" w:hAnsi="Bookman Old Style" w:cs="Arial"/>
          <w:sz w:val="28"/>
          <w:szCs w:val="28"/>
        </w:rPr>
        <w:t xml:space="preserve">Luego entonces, si el acto jurídico unilateral </w:t>
      </w:r>
      <w:r w:rsidR="00343186">
        <w:rPr>
          <w:rFonts w:ascii="Bookman Old Style" w:hAnsi="Bookman Old Style" w:cs="Arial"/>
          <w:sz w:val="28"/>
          <w:szCs w:val="28"/>
        </w:rPr>
        <w:t xml:space="preserve">de renuncia a gananciales es </w:t>
      </w:r>
      <w:r w:rsidR="00343186" w:rsidRPr="001F056A">
        <w:rPr>
          <w:rFonts w:ascii="Bookman Old Style" w:hAnsi="Bookman Old Style" w:cs="Arial"/>
          <w:i/>
          <w:iCs/>
          <w:sz w:val="28"/>
          <w:szCs w:val="28"/>
        </w:rPr>
        <w:t>inoponible</w:t>
      </w:r>
      <w:r w:rsidR="00343186">
        <w:rPr>
          <w:rFonts w:ascii="Bookman Old Style" w:hAnsi="Bookman Old Style" w:cs="Arial"/>
          <w:sz w:val="28"/>
          <w:szCs w:val="28"/>
        </w:rPr>
        <w:t xml:space="preserve"> </w:t>
      </w:r>
      <w:r w:rsidR="001F056A">
        <w:rPr>
          <w:rFonts w:ascii="Bookman Old Style" w:hAnsi="Bookman Old Style" w:cs="Arial"/>
          <w:sz w:val="28"/>
          <w:szCs w:val="28"/>
        </w:rPr>
        <w:t xml:space="preserve">frente </w:t>
      </w:r>
      <w:r w:rsidR="00343186">
        <w:rPr>
          <w:rFonts w:ascii="Bookman Old Style" w:hAnsi="Bookman Old Style" w:cs="Arial"/>
          <w:sz w:val="28"/>
          <w:szCs w:val="28"/>
        </w:rPr>
        <w:t xml:space="preserve">al actor, también lo será </w:t>
      </w:r>
      <w:r w:rsidR="00DE6D36">
        <w:rPr>
          <w:rFonts w:ascii="Bookman Old Style" w:hAnsi="Bookman Old Style" w:cs="Arial"/>
          <w:sz w:val="28"/>
          <w:szCs w:val="28"/>
        </w:rPr>
        <w:t>la posterior adjudicación</w:t>
      </w:r>
      <w:r w:rsidR="00082194">
        <w:rPr>
          <w:rFonts w:ascii="Bookman Old Style" w:hAnsi="Bookman Old Style" w:cs="Arial"/>
          <w:sz w:val="28"/>
          <w:szCs w:val="28"/>
        </w:rPr>
        <w:t xml:space="preserve"> que</w:t>
      </w:r>
      <w:r w:rsidR="00DE6D36">
        <w:rPr>
          <w:rFonts w:ascii="Bookman Old Style" w:hAnsi="Bookman Old Style" w:cs="Arial"/>
          <w:sz w:val="28"/>
          <w:szCs w:val="28"/>
        </w:rPr>
        <w:t xml:space="preserve"> de </w:t>
      </w:r>
      <w:r w:rsidR="002941AA">
        <w:rPr>
          <w:rFonts w:ascii="Bookman Old Style" w:hAnsi="Bookman Old Style" w:cs="Arial"/>
          <w:sz w:val="28"/>
          <w:szCs w:val="28"/>
        </w:rPr>
        <w:t xml:space="preserve">todos </w:t>
      </w:r>
      <w:r w:rsidR="00DE6D36">
        <w:rPr>
          <w:rFonts w:ascii="Bookman Old Style" w:hAnsi="Bookman Old Style" w:cs="Arial"/>
          <w:sz w:val="28"/>
          <w:szCs w:val="28"/>
        </w:rPr>
        <w:t xml:space="preserve">los </w:t>
      </w:r>
      <w:r w:rsidR="00082194">
        <w:rPr>
          <w:rFonts w:ascii="Bookman Old Style" w:hAnsi="Bookman Old Style" w:cs="Arial"/>
          <w:sz w:val="28"/>
          <w:szCs w:val="28"/>
        </w:rPr>
        <w:t>bienes</w:t>
      </w:r>
      <w:r w:rsidR="009E077A">
        <w:rPr>
          <w:rFonts w:ascii="Bookman Old Style" w:hAnsi="Bookman Old Style" w:cs="Arial"/>
          <w:sz w:val="28"/>
          <w:szCs w:val="28"/>
        </w:rPr>
        <w:t xml:space="preserve"> comprendidos</w:t>
      </w:r>
      <w:r w:rsidR="00082194">
        <w:rPr>
          <w:rFonts w:ascii="Bookman Old Style" w:hAnsi="Bookman Old Style" w:cs="Arial"/>
          <w:sz w:val="28"/>
          <w:szCs w:val="28"/>
        </w:rPr>
        <w:t xml:space="preserve"> en ella </w:t>
      </w:r>
      <w:r w:rsidR="00EE4DE4">
        <w:rPr>
          <w:rFonts w:ascii="Bookman Old Style" w:hAnsi="Bookman Old Style" w:cs="Arial"/>
          <w:sz w:val="28"/>
          <w:szCs w:val="28"/>
        </w:rPr>
        <w:t xml:space="preserve">se hizo </w:t>
      </w:r>
      <w:r w:rsidR="002941AA">
        <w:rPr>
          <w:rFonts w:ascii="Bookman Old Style" w:hAnsi="Bookman Old Style" w:cs="Arial"/>
          <w:sz w:val="28"/>
          <w:szCs w:val="28"/>
        </w:rPr>
        <w:t>en favor de Mary Hernández de Gómez</w:t>
      </w:r>
      <w:r w:rsidR="00DD7D4E">
        <w:rPr>
          <w:rFonts w:ascii="Bookman Old Style" w:hAnsi="Bookman Old Style" w:cs="Arial"/>
          <w:sz w:val="28"/>
          <w:szCs w:val="28"/>
        </w:rPr>
        <w:t>.</w:t>
      </w:r>
    </w:p>
    <w:p w14:paraId="0EACF355" w14:textId="77777777" w:rsidR="00697430" w:rsidRDefault="00697430" w:rsidP="001F056A">
      <w:pPr>
        <w:spacing w:line="360" w:lineRule="auto"/>
        <w:jc w:val="both"/>
        <w:rPr>
          <w:rFonts w:ascii="Bookman Old Style" w:hAnsi="Bookman Old Style" w:cs="Arial"/>
          <w:sz w:val="28"/>
          <w:szCs w:val="28"/>
        </w:rPr>
      </w:pPr>
    </w:p>
    <w:p w14:paraId="1BFFACDE" w14:textId="77777777" w:rsidR="008D04AF" w:rsidRPr="00DB5966" w:rsidRDefault="00804039" w:rsidP="008D04AF">
      <w:pPr>
        <w:pStyle w:val="Textoindependiente"/>
        <w:spacing w:after="0" w:line="360" w:lineRule="auto"/>
        <w:ind w:firstLine="709"/>
        <w:jc w:val="both"/>
        <w:rPr>
          <w:rFonts w:ascii="Bookman Old Style" w:hAnsi="Bookman Old Style"/>
          <w:bCs/>
          <w:sz w:val="28"/>
          <w:szCs w:val="28"/>
        </w:rPr>
      </w:pPr>
      <w:r>
        <w:rPr>
          <w:rFonts w:ascii="Bookman Old Style" w:hAnsi="Bookman Old Style"/>
          <w:bCs/>
          <w:sz w:val="28"/>
          <w:szCs w:val="28"/>
        </w:rPr>
        <w:t>1</w:t>
      </w:r>
      <w:r w:rsidR="0008224E">
        <w:rPr>
          <w:rFonts w:ascii="Bookman Old Style" w:hAnsi="Bookman Old Style"/>
          <w:bCs/>
          <w:sz w:val="28"/>
          <w:szCs w:val="28"/>
        </w:rPr>
        <w:t>9</w:t>
      </w:r>
      <w:r>
        <w:rPr>
          <w:rFonts w:ascii="Bookman Old Style" w:hAnsi="Bookman Old Style"/>
          <w:bCs/>
          <w:sz w:val="28"/>
          <w:szCs w:val="28"/>
        </w:rPr>
        <w:t xml:space="preserve">. </w:t>
      </w:r>
      <w:r w:rsidR="008D04AF" w:rsidRPr="00DB5966">
        <w:rPr>
          <w:rFonts w:ascii="Bookman Old Style" w:hAnsi="Bookman Old Style"/>
          <w:bCs/>
          <w:sz w:val="28"/>
          <w:szCs w:val="28"/>
        </w:rPr>
        <w:t>Lo expuesto es suficiente para quebrar el fallo impugnado, por cuanto las equivocaciones</w:t>
      </w:r>
      <w:r w:rsidR="008D04AF">
        <w:rPr>
          <w:rFonts w:ascii="Bookman Old Style" w:hAnsi="Bookman Old Style"/>
          <w:bCs/>
          <w:sz w:val="28"/>
          <w:szCs w:val="28"/>
        </w:rPr>
        <w:t xml:space="preserve"> denunciadas en ambos cargos son </w:t>
      </w:r>
      <w:r w:rsidR="008D04AF" w:rsidRPr="00DB5966">
        <w:rPr>
          <w:rFonts w:ascii="Bookman Old Style" w:hAnsi="Bookman Old Style"/>
          <w:bCs/>
          <w:sz w:val="28"/>
          <w:szCs w:val="28"/>
        </w:rPr>
        <w:t>trascendentes</w:t>
      </w:r>
      <w:r w:rsidR="008D04AF">
        <w:rPr>
          <w:rFonts w:ascii="Bookman Old Style" w:hAnsi="Bookman Old Style"/>
          <w:bCs/>
          <w:sz w:val="28"/>
          <w:szCs w:val="28"/>
        </w:rPr>
        <w:t>.</w:t>
      </w:r>
    </w:p>
    <w:p w14:paraId="3A9781D6" w14:textId="77777777" w:rsidR="008D04AF" w:rsidRPr="00DB5966" w:rsidRDefault="008D04AF" w:rsidP="008D04AF">
      <w:pPr>
        <w:pStyle w:val="Textoindependiente"/>
        <w:spacing w:after="0" w:line="360" w:lineRule="auto"/>
        <w:ind w:firstLine="851"/>
        <w:jc w:val="both"/>
        <w:rPr>
          <w:rFonts w:ascii="Bookman Old Style" w:hAnsi="Bookman Old Style"/>
          <w:bCs/>
          <w:sz w:val="28"/>
          <w:szCs w:val="28"/>
        </w:rPr>
      </w:pPr>
    </w:p>
    <w:p w14:paraId="615CC9A1" w14:textId="77777777" w:rsidR="00582C73" w:rsidRPr="002A28D6" w:rsidRDefault="008D04AF" w:rsidP="00582C73">
      <w:pPr>
        <w:spacing w:line="360" w:lineRule="auto"/>
        <w:ind w:firstLine="709"/>
        <w:jc w:val="both"/>
        <w:rPr>
          <w:rFonts w:ascii="Bookman Old Style" w:hAnsi="Bookman Old Style" w:cs="Arial"/>
          <w:sz w:val="28"/>
          <w:szCs w:val="28"/>
        </w:rPr>
      </w:pPr>
      <w:r>
        <w:rPr>
          <w:rFonts w:ascii="Bookman Old Style" w:hAnsi="Bookman Old Style"/>
          <w:bCs/>
          <w:sz w:val="28"/>
          <w:szCs w:val="28"/>
        </w:rPr>
        <w:t xml:space="preserve">En consecuencia, al prosperar los cargos, no hay lugar a imponer costas, en tanto se procederá de conformidad con lo </w:t>
      </w:r>
      <w:r>
        <w:rPr>
          <w:rFonts w:ascii="Bookman Old Style" w:hAnsi="Bookman Old Style"/>
          <w:sz w:val="28"/>
          <w:szCs w:val="28"/>
        </w:rPr>
        <w:t>dispuesto en el artículo 375, inciso 1º del Código de Procedimiento</w:t>
      </w:r>
      <w:r w:rsidR="00582C73">
        <w:rPr>
          <w:rFonts w:ascii="Bookman Old Style" w:hAnsi="Bookman Old Style"/>
          <w:sz w:val="28"/>
          <w:szCs w:val="28"/>
        </w:rPr>
        <w:t xml:space="preserve">, </w:t>
      </w:r>
      <w:r w:rsidR="00EA6704">
        <w:rPr>
          <w:rFonts w:ascii="Bookman Old Style" w:hAnsi="Bookman Old Style"/>
          <w:sz w:val="28"/>
          <w:szCs w:val="28"/>
        </w:rPr>
        <w:t xml:space="preserve">en sede de instancia a </w:t>
      </w:r>
      <w:r w:rsidR="00582C73">
        <w:rPr>
          <w:rFonts w:ascii="Bookman Old Style" w:hAnsi="Bookman Old Style" w:cs="Arial"/>
          <w:sz w:val="28"/>
          <w:szCs w:val="28"/>
        </w:rPr>
        <w:t>dictar</w:t>
      </w:r>
      <w:r w:rsidR="00582C73" w:rsidRPr="002A28D6">
        <w:rPr>
          <w:rFonts w:ascii="Bookman Old Style" w:hAnsi="Bookman Old Style" w:cs="Arial"/>
          <w:sz w:val="28"/>
          <w:szCs w:val="28"/>
        </w:rPr>
        <w:t xml:space="preserve"> sentencia </w:t>
      </w:r>
      <w:r w:rsidR="00582C73">
        <w:rPr>
          <w:rFonts w:ascii="Bookman Old Style" w:hAnsi="Bookman Old Style" w:cs="Arial"/>
          <w:sz w:val="28"/>
          <w:szCs w:val="28"/>
        </w:rPr>
        <w:t xml:space="preserve">de reemplazo que desate </w:t>
      </w:r>
      <w:r w:rsidR="00054F08">
        <w:rPr>
          <w:rFonts w:ascii="Bookman Old Style" w:hAnsi="Bookman Old Style" w:cs="Arial"/>
          <w:sz w:val="28"/>
          <w:szCs w:val="28"/>
        </w:rPr>
        <w:t>la alzada propuesta contra la sentencia de primer nivel, como a continuación pasa a explicarse.</w:t>
      </w:r>
    </w:p>
    <w:p w14:paraId="3FB00BFE" w14:textId="77777777" w:rsidR="008D04AF" w:rsidRPr="00DB5966" w:rsidRDefault="008D04AF" w:rsidP="008655E1">
      <w:pPr>
        <w:pStyle w:val="Textoindependiente"/>
        <w:spacing w:after="0" w:line="360" w:lineRule="auto"/>
        <w:ind w:firstLine="709"/>
        <w:jc w:val="both"/>
        <w:rPr>
          <w:rFonts w:ascii="Bookman Old Style" w:hAnsi="Bookman Old Style"/>
          <w:sz w:val="28"/>
          <w:szCs w:val="28"/>
        </w:rPr>
      </w:pPr>
    </w:p>
    <w:p w14:paraId="5FC8D554" w14:textId="77777777" w:rsidR="008D04AF" w:rsidRDefault="008D04AF" w:rsidP="008D04AF">
      <w:pPr>
        <w:pStyle w:val="Textoindependiente"/>
        <w:spacing w:after="0" w:line="360" w:lineRule="auto"/>
        <w:ind w:firstLine="851"/>
        <w:jc w:val="center"/>
        <w:rPr>
          <w:rFonts w:ascii="Bookman Old Style" w:hAnsi="Bookman Old Style"/>
          <w:b/>
          <w:sz w:val="28"/>
          <w:szCs w:val="28"/>
        </w:rPr>
      </w:pPr>
      <w:r w:rsidRPr="002D05E7">
        <w:rPr>
          <w:rFonts w:ascii="Bookman Old Style" w:hAnsi="Bookman Old Style"/>
          <w:b/>
          <w:sz w:val="28"/>
          <w:szCs w:val="28"/>
        </w:rPr>
        <w:t>SENTENCIA SUSTITUTIVA</w:t>
      </w:r>
    </w:p>
    <w:p w14:paraId="36ACF15A" w14:textId="77777777" w:rsidR="00524BC1" w:rsidRDefault="00524BC1" w:rsidP="008D04AF">
      <w:pPr>
        <w:pStyle w:val="Textoindependiente"/>
        <w:spacing w:after="0" w:line="360" w:lineRule="auto"/>
        <w:ind w:firstLine="851"/>
        <w:jc w:val="center"/>
        <w:rPr>
          <w:rFonts w:ascii="Bookman Old Style" w:hAnsi="Bookman Old Style"/>
          <w:b/>
          <w:sz w:val="28"/>
          <w:szCs w:val="28"/>
        </w:rPr>
      </w:pPr>
    </w:p>
    <w:p w14:paraId="23B3CA83" w14:textId="77777777" w:rsidR="005A5142" w:rsidRDefault="001676D1" w:rsidP="00DD06BA">
      <w:pPr>
        <w:pStyle w:val="Textoindependiente"/>
        <w:numPr>
          <w:ilvl w:val="0"/>
          <w:numId w:val="4"/>
        </w:numPr>
        <w:spacing w:after="0" w:line="360" w:lineRule="auto"/>
        <w:ind w:left="0" w:firstLine="709"/>
        <w:jc w:val="both"/>
        <w:rPr>
          <w:rFonts w:ascii="Bookman Old Style" w:eastAsia="Times New Roman" w:hAnsi="Bookman Old Style" w:cs="Arial"/>
          <w:sz w:val="28"/>
          <w:szCs w:val="28"/>
        </w:rPr>
      </w:pPr>
      <w:r>
        <w:rPr>
          <w:rFonts w:ascii="Bookman Old Style" w:hAnsi="Bookman Old Style"/>
          <w:sz w:val="28"/>
          <w:szCs w:val="28"/>
        </w:rPr>
        <w:t>Ya se precisaron</w:t>
      </w:r>
      <w:r w:rsidR="000D1356">
        <w:rPr>
          <w:rFonts w:ascii="Bookman Old Style" w:hAnsi="Bookman Old Style"/>
          <w:sz w:val="28"/>
          <w:szCs w:val="28"/>
        </w:rPr>
        <w:t xml:space="preserve"> con anterioridad las pretensiones y los hechos que sirven de venero a la acción de </w:t>
      </w:r>
      <w:r w:rsidR="000D1356" w:rsidRPr="00E030BB">
        <w:rPr>
          <w:rFonts w:ascii="Bookman Old Style" w:hAnsi="Bookman Old Style"/>
          <w:i/>
          <w:iCs/>
          <w:sz w:val="28"/>
          <w:szCs w:val="28"/>
        </w:rPr>
        <w:t>inoponibilidad</w:t>
      </w:r>
      <w:r w:rsidR="000D1356">
        <w:rPr>
          <w:rFonts w:ascii="Bookman Old Style" w:hAnsi="Bookman Old Style"/>
          <w:sz w:val="28"/>
          <w:szCs w:val="28"/>
        </w:rPr>
        <w:t>, como también la postura de la parte demandada y de las personas que fueron vinculadas en calidad de litisconsortes necesario</w:t>
      </w:r>
      <w:r w:rsidR="00F5210C">
        <w:rPr>
          <w:rFonts w:ascii="Bookman Old Style" w:hAnsi="Bookman Old Style"/>
          <w:sz w:val="28"/>
          <w:szCs w:val="28"/>
        </w:rPr>
        <w:t>s</w:t>
      </w:r>
      <w:r w:rsidR="000D1356">
        <w:rPr>
          <w:rFonts w:ascii="Bookman Old Style" w:hAnsi="Bookman Old Style"/>
          <w:sz w:val="28"/>
          <w:szCs w:val="28"/>
        </w:rPr>
        <w:t xml:space="preserve">, e igualmente el argumento toral de la decisión de primera instancia y el </w:t>
      </w:r>
      <w:r w:rsidR="000D1356">
        <w:rPr>
          <w:rFonts w:ascii="Bookman Old Style" w:hAnsi="Bookman Old Style"/>
          <w:sz w:val="28"/>
          <w:szCs w:val="28"/>
        </w:rPr>
        <w:lastRenderedPageBreak/>
        <w:t>contenido de los recursos de apelación formulados por los extremos de la litis</w:t>
      </w:r>
      <w:r w:rsidR="00DD06BA">
        <w:rPr>
          <w:rFonts w:ascii="Bookman Old Style" w:hAnsi="Bookman Old Style"/>
          <w:sz w:val="28"/>
          <w:szCs w:val="28"/>
        </w:rPr>
        <w:t>, a lo cual se remite la Corte</w:t>
      </w:r>
      <w:r w:rsidR="000D1356">
        <w:rPr>
          <w:rFonts w:ascii="Bookman Old Style" w:hAnsi="Bookman Old Style"/>
          <w:sz w:val="28"/>
          <w:szCs w:val="28"/>
        </w:rPr>
        <w:t xml:space="preserve">.  </w:t>
      </w:r>
    </w:p>
    <w:p w14:paraId="436CBBA3" w14:textId="77777777" w:rsidR="00CA117D" w:rsidRDefault="00CA117D" w:rsidP="00FD2205">
      <w:pPr>
        <w:pStyle w:val="Textoindependiente"/>
        <w:spacing w:after="0" w:line="360" w:lineRule="auto"/>
        <w:ind w:firstLine="709"/>
        <w:jc w:val="both"/>
        <w:rPr>
          <w:rFonts w:ascii="Bookman Old Style" w:hAnsi="Bookman Old Style"/>
          <w:sz w:val="28"/>
          <w:szCs w:val="28"/>
        </w:rPr>
      </w:pPr>
    </w:p>
    <w:p w14:paraId="3D6730F6" w14:textId="77777777" w:rsidR="00B66295" w:rsidRDefault="00C36FC2" w:rsidP="00CA117D">
      <w:pPr>
        <w:spacing w:line="360" w:lineRule="auto"/>
        <w:ind w:firstLine="709"/>
        <w:jc w:val="both"/>
        <w:rPr>
          <w:rFonts w:ascii="Bookman Old Style" w:eastAsia="Times New Roman" w:hAnsi="Bookman Old Style" w:cs="Arial"/>
          <w:sz w:val="28"/>
          <w:szCs w:val="28"/>
        </w:rPr>
      </w:pPr>
      <w:r w:rsidRPr="00BC053F">
        <w:rPr>
          <w:rFonts w:ascii="Bookman Old Style" w:eastAsia="Times New Roman" w:hAnsi="Bookman Old Style" w:cs="Arial"/>
          <w:sz w:val="28"/>
          <w:szCs w:val="28"/>
        </w:rPr>
        <w:t>2.</w:t>
      </w:r>
      <w:r w:rsidRPr="00CE1AC4">
        <w:rPr>
          <w:rFonts w:ascii="Bookman Old Style" w:eastAsia="Times New Roman" w:hAnsi="Bookman Old Style" w:cs="Arial"/>
          <w:sz w:val="28"/>
          <w:szCs w:val="28"/>
        </w:rPr>
        <w:t xml:space="preserve"> </w:t>
      </w:r>
      <w:r w:rsidR="00C229C8" w:rsidRPr="00CE1AC4">
        <w:rPr>
          <w:rFonts w:ascii="Bookman Old Style" w:eastAsia="Times New Roman" w:hAnsi="Bookman Old Style" w:cs="Arial"/>
          <w:sz w:val="28"/>
          <w:szCs w:val="28"/>
        </w:rPr>
        <w:t xml:space="preserve">La sentencia de primera instancia acogió la pretensión principal de </w:t>
      </w:r>
      <w:r w:rsidR="00C229C8" w:rsidRPr="003643C5">
        <w:rPr>
          <w:rFonts w:ascii="Bookman Old Style" w:eastAsia="Times New Roman" w:hAnsi="Bookman Old Style" w:cs="Arial"/>
          <w:i/>
          <w:iCs/>
          <w:sz w:val="28"/>
          <w:szCs w:val="28"/>
        </w:rPr>
        <w:t>inoponibilidad</w:t>
      </w:r>
      <w:r w:rsidR="00C229C8" w:rsidRPr="00CE1AC4">
        <w:rPr>
          <w:rFonts w:ascii="Bookman Old Style" w:eastAsia="Times New Roman" w:hAnsi="Bookman Old Style" w:cs="Arial"/>
          <w:sz w:val="28"/>
          <w:szCs w:val="28"/>
        </w:rPr>
        <w:t xml:space="preserve"> formulada por Luis Álvaro Gómez Meza, extendiendo dicha declaración a los otros herederos del causante Álvaro Gómez Prada que fueron vinculados como contradictores mediante auto fechado 27 de enero de 2010, Clara Elena, Álvaro Omar, Carlos Alberto y José Fernando Gómez Hernández</w:t>
      </w:r>
      <w:r w:rsidR="001F056A">
        <w:rPr>
          <w:rFonts w:ascii="Bookman Old Style" w:eastAsia="Times New Roman" w:hAnsi="Bookman Old Style" w:cs="Arial"/>
          <w:sz w:val="28"/>
          <w:szCs w:val="28"/>
        </w:rPr>
        <w:t>.</w:t>
      </w:r>
      <w:r w:rsidR="00C229C8" w:rsidRPr="00CE1AC4">
        <w:rPr>
          <w:rFonts w:ascii="Bookman Old Style" w:eastAsia="Times New Roman" w:hAnsi="Bookman Old Style" w:cs="Arial"/>
          <w:sz w:val="28"/>
          <w:szCs w:val="28"/>
        </w:rPr>
        <w:t xml:space="preserve"> </w:t>
      </w:r>
      <w:r w:rsidR="001F056A">
        <w:rPr>
          <w:rFonts w:ascii="Bookman Old Style" w:eastAsia="Times New Roman" w:hAnsi="Bookman Old Style" w:cs="Arial"/>
          <w:sz w:val="28"/>
          <w:szCs w:val="28"/>
        </w:rPr>
        <w:t>D</w:t>
      </w:r>
      <w:r w:rsidR="00C229C8" w:rsidRPr="00CE1AC4">
        <w:rPr>
          <w:rFonts w:ascii="Bookman Old Style" w:eastAsia="Times New Roman" w:hAnsi="Bookman Old Style" w:cs="Arial"/>
          <w:sz w:val="28"/>
          <w:szCs w:val="28"/>
        </w:rPr>
        <w:t xml:space="preserve">enegó la pretensión segunda de la demanda y declaró la falta de legitimación en </w:t>
      </w:r>
      <w:r w:rsidR="00CB5C96" w:rsidRPr="00CE1AC4">
        <w:rPr>
          <w:rFonts w:ascii="Bookman Old Style" w:eastAsia="Times New Roman" w:hAnsi="Bookman Old Style" w:cs="Arial"/>
          <w:sz w:val="28"/>
          <w:szCs w:val="28"/>
        </w:rPr>
        <w:t xml:space="preserve">la </w:t>
      </w:r>
      <w:r w:rsidR="00C229C8" w:rsidRPr="00CE1AC4">
        <w:rPr>
          <w:rFonts w:ascii="Bookman Old Style" w:eastAsia="Times New Roman" w:hAnsi="Bookman Old Style" w:cs="Arial"/>
          <w:sz w:val="28"/>
          <w:szCs w:val="28"/>
        </w:rPr>
        <w:t>causa activa</w:t>
      </w:r>
      <w:r w:rsidR="00CB5C96" w:rsidRPr="00CE1AC4">
        <w:rPr>
          <w:rFonts w:ascii="Bookman Old Style" w:eastAsia="Times New Roman" w:hAnsi="Bookman Old Style" w:cs="Arial"/>
          <w:sz w:val="28"/>
          <w:szCs w:val="28"/>
        </w:rPr>
        <w:t xml:space="preserve"> de Diana María Gómez Chacón.</w:t>
      </w:r>
    </w:p>
    <w:p w14:paraId="3ACE118D" w14:textId="77777777" w:rsidR="005D6C9B" w:rsidRDefault="00DB0A6B" w:rsidP="00CA117D">
      <w:pPr>
        <w:spacing w:line="360" w:lineRule="auto"/>
        <w:ind w:firstLine="709"/>
        <w:jc w:val="both"/>
        <w:rPr>
          <w:rFonts w:ascii="Bookman Old Style" w:eastAsia="Times New Roman" w:hAnsi="Bookman Old Style" w:cs="Arial"/>
          <w:sz w:val="24"/>
          <w:szCs w:val="24"/>
        </w:rPr>
      </w:pPr>
      <w:r>
        <w:rPr>
          <w:rFonts w:ascii="Bookman Old Style" w:eastAsia="Times New Roman" w:hAnsi="Bookman Old Style" w:cs="Arial"/>
          <w:sz w:val="24"/>
          <w:szCs w:val="24"/>
        </w:rPr>
        <w:t xml:space="preserve"> </w:t>
      </w:r>
    </w:p>
    <w:p w14:paraId="0E84334E" w14:textId="77777777" w:rsidR="00B66295" w:rsidRPr="00CE1AC4" w:rsidRDefault="00B66295" w:rsidP="00CA117D">
      <w:pPr>
        <w:spacing w:line="360" w:lineRule="auto"/>
        <w:ind w:firstLine="709"/>
        <w:jc w:val="both"/>
        <w:rPr>
          <w:rFonts w:ascii="Bookman Old Style" w:eastAsia="Times New Roman" w:hAnsi="Bookman Old Style" w:cs="Arial"/>
          <w:sz w:val="28"/>
          <w:szCs w:val="28"/>
        </w:rPr>
      </w:pPr>
      <w:r w:rsidRPr="00CE1AC4">
        <w:rPr>
          <w:rFonts w:ascii="Bookman Old Style" w:eastAsia="Times New Roman" w:hAnsi="Bookman Old Style" w:cs="Arial"/>
          <w:sz w:val="28"/>
          <w:szCs w:val="28"/>
        </w:rPr>
        <w:t>El fallo fue recurrido en apelación parcialmente por el actor respecto de la pretensión consecuencial denegada</w:t>
      </w:r>
      <w:r w:rsidR="001F056A">
        <w:rPr>
          <w:rFonts w:ascii="Bookman Old Style" w:eastAsia="Times New Roman" w:hAnsi="Bookman Old Style" w:cs="Arial"/>
          <w:sz w:val="28"/>
          <w:szCs w:val="28"/>
        </w:rPr>
        <w:t>.</w:t>
      </w:r>
      <w:r w:rsidRPr="00CE1AC4">
        <w:rPr>
          <w:rFonts w:ascii="Bookman Old Style" w:eastAsia="Times New Roman" w:hAnsi="Bookman Old Style" w:cs="Arial"/>
          <w:sz w:val="28"/>
          <w:szCs w:val="28"/>
        </w:rPr>
        <w:t xml:space="preserve"> </w:t>
      </w:r>
      <w:r w:rsidR="001F056A">
        <w:rPr>
          <w:rFonts w:ascii="Bookman Old Style" w:eastAsia="Times New Roman" w:hAnsi="Bookman Old Style" w:cs="Arial"/>
          <w:sz w:val="28"/>
          <w:szCs w:val="28"/>
        </w:rPr>
        <w:t>T</w:t>
      </w:r>
      <w:r w:rsidRPr="00CE1AC4">
        <w:rPr>
          <w:rFonts w:ascii="Bookman Old Style" w:eastAsia="Times New Roman" w:hAnsi="Bookman Old Style" w:cs="Arial"/>
          <w:sz w:val="28"/>
          <w:szCs w:val="28"/>
        </w:rPr>
        <w:t>ambién interpus</w:t>
      </w:r>
      <w:r w:rsidR="001F056A">
        <w:rPr>
          <w:rFonts w:ascii="Bookman Old Style" w:eastAsia="Times New Roman" w:hAnsi="Bookman Old Style" w:cs="Arial"/>
          <w:sz w:val="28"/>
          <w:szCs w:val="28"/>
        </w:rPr>
        <w:t>ieron</w:t>
      </w:r>
      <w:r w:rsidRPr="00CE1AC4">
        <w:rPr>
          <w:rFonts w:ascii="Bookman Old Style" w:eastAsia="Times New Roman" w:hAnsi="Bookman Old Style" w:cs="Arial"/>
          <w:sz w:val="28"/>
          <w:szCs w:val="28"/>
        </w:rPr>
        <w:t xml:space="preserve"> apelación Mary Hernández de Gómez</w:t>
      </w:r>
      <w:r w:rsidR="00FE43AE">
        <w:rPr>
          <w:rFonts w:ascii="Bookman Old Style" w:eastAsia="Times New Roman" w:hAnsi="Bookman Old Style" w:cs="Arial"/>
          <w:sz w:val="28"/>
          <w:szCs w:val="28"/>
        </w:rPr>
        <w:t xml:space="preserve"> y </w:t>
      </w:r>
      <w:r w:rsidRPr="00CE1AC4">
        <w:rPr>
          <w:rFonts w:ascii="Bookman Old Style" w:eastAsia="Times New Roman" w:hAnsi="Bookman Old Style" w:cs="Arial"/>
          <w:sz w:val="28"/>
          <w:szCs w:val="28"/>
        </w:rPr>
        <w:t>Diana María Gómez Chacón.</w:t>
      </w:r>
    </w:p>
    <w:p w14:paraId="00B0EC17" w14:textId="77777777" w:rsidR="00B66295" w:rsidRDefault="00B66295" w:rsidP="00CA117D">
      <w:pPr>
        <w:spacing w:line="360" w:lineRule="auto"/>
        <w:ind w:firstLine="709"/>
        <w:jc w:val="both"/>
        <w:rPr>
          <w:rFonts w:ascii="Bookman Old Style" w:eastAsia="Times New Roman" w:hAnsi="Bookman Old Style" w:cs="Arial"/>
          <w:sz w:val="24"/>
          <w:szCs w:val="24"/>
        </w:rPr>
      </w:pPr>
    </w:p>
    <w:p w14:paraId="1E5DDD0A" w14:textId="77777777" w:rsidR="001D62B0" w:rsidRPr="00967C11" w:rsidRDefault="00B66295" w:rsidP="00967C11">
      <w:pPr>
        <w:pStyle w:val="Prrafodelista"/>
        <w:numPr>
          <w:ilvl w:val="0"/>
          <w:numId w:val="5"/>
        </w:numPr>
        <w:spacing w:line="360" w:lineRule="auto"/>
        <w:ind w:left="0" w:firstLine="709"/>
        <w:jc w:val="both"/>
        <w:rPr>
          <w:rFonts w:ascii="Bookman Old Style" w:eastAsia="Times New Roman" w:hAnsi="Bookman Old Style" w:cs="Arial"/>
          <w:sz w:val="28"/>
          <w:szCs w:val="28"/>
        </w:rPr>
      </w:pPr>
      <w:r w:rsidRPr="00967C11">
        <w:rPr>
          <w:rFonts w:ascii="Bookman Old Style" w:eastAsia="Times New Roman" w:hAnsi="Bookman Old Style" w:cs="Arial"/>
          <w:sz w:val="28"/>
          <w:szCs w:val="28"/>
        </w:rPr>
        <w:t>El Tribunal</w:t>
      </w:r>
      <w:r w:rsidR="00FE43AE">
        <w:rPr>
          <w:rFonts w:ascii="Bookman Old Style" w:eastAsia="Times New Roman" w:hAnsi="Bookman Old Style" w:cs="Arial"/>
          <w:sz w:val="28"/>
          <w:szCs w:val="28"/>
        </w:rPr>
        <w:t>,</w:t>
      </w:r>
      <w:r w:rsidRPr="00967C11">
        <w:rPr>
          <w:rFonts w:ascii="Bookman Old Style" w:eastAsia="Times New Roman" w:hAnsi="Bookman Old Style" w:cs="Arial"/>
          <w:sz w:val="28"/>
          <w:szCs w:val="28"/>
        </w:rPr>
        <w:t xml:space="preserve"> al desatar los recursos de alzada, revocó en todas sus partes la decisión de primer grado. El demandante interpuso recurso de casación y formuló dos cargos</w:t>
      </w:r>
      <w:r w:rsidR="001D62B0" w:rsidRPr="00967C11">
        <w:rPr>
          <w:rFonts w:ascii="Bookman Old Style" w:eastAsia="Times New Roman" w:hAnsi="Bookman Old Style" w:cs="Arial"/>
          <w:sz w:val="28"/>
          <w:szCs w:val="28"/>
        </w:rPr>
        <w:t xml:space="preserve">, ambos orientados a atacar lo atinente al desconocimiento de su calidad de tercero y que el </w:t>
      </w:r>
      <w:r w:rsidR="00967C11" w:rsidRPr="00967C11">
        <w:rPr>
          <w:rFonts w:ascii="Bookman Old Style" w:eastAsia="Times New Roman" w:hAnsi="Bookman Old Style" w:cs="Arial"/>
          <w:sz w:val="28"/>
          <w:szCs w:val="28"/>
        </w:rPr>
        <w:t>acto</w:t>
      </w:r>
      <w:r w:rsidR="001D62B0" w:rsidRPr="00967C11">
        <w:rPr>
          <w:rFonts w:ascii="Bookman Old Style" w:eastAsia="Times New Roman" w:hAnsi="Bookman Old Style" w:cs="Arial"/>
          <w:sz w:val="28"/>
          <w:szCs w:val="28"/>
        </w:rPr>
        <w:t xml:space="preserve"> de renuncia a los gananciales </w:t>
      </w:r>
      <w:r w:rsidR="00967C11">
        <w:rPr>
          <w:rFonts w:ascii="Bookman Old Style" w:eastAsia="Times New Roman" w:hAnsi="Bookman Old Style" w:cs="Arial"/>
          <w:sz w:val="28"/>
          <w:szCs w:val="28"/>
        </w:rPr>
        <w:t>realizado</w:t>
      </w:r>
      <w:r w:rsidR="001D62B0" w:rsidRPr="00967C11">
        <w:rPr>
          <w:rFonts w:ascii="Bookman Old Style" w:eastAsia="Times New Roman" w:hAnsi="Bookman Old Style" w:cs="Arial"/>
          <w:sz w:val="28"/>
          <w:szCs w:val="28"/>
        </w:rPr>
        <w:t xml:space="preserve"> por su progenitor sí lo perjudica con relación a su legítima rigurosa, y por ello le es inoponible</w:t>
      </w:r>
      <w:r w:rsidR="00D4190E" w:rsidRPr="00967C11">
        <w:rPr>
          <w:rFonts w:ascii="Bookman Old Style" w:eastAsia="Times New Roman" w:hAnsi="Bookman Old Style" w:cs="Arial"/>
          <w:sz w:val="28"/>
          <w:szCs w:val="28"/>
        </w:rPr>
        <w:t xml:space="preserve">, </w:t>
      </w:r>
      <w:r w:rsidR="00790624" w:rsidRPr="00967C11">
        <w:rPr>
          <w:rFonts w:ascii="Bookman Old Style" w:eastAsia="Times New Roman" w:hAnsi="Bookman Old Style" w:cs="Arial"/>
          <w:sz w:val="28"/>
          <w:szCs w:val="28"/>
        </w:rPr>
        <w:t>sin que en casación se hubiese hecho reproche alguno con respecto a la pretensión negada de la sanción por ocultación de bienes apoyada en el artículo 1824 de</w:t>
      </w:r>
      <w:r w:rsidR="00F5210C">
        <w:rPr>
          <w:rFonts w:ascii="Bookman Old Style" w:eastAsia="Times New Roman" w:hAnsi="Bookman Old Style" w:cs="Arial"/>
          <w:sz w:val="28"/>
          <w:szCs w:val="28"/>
        </w:rPr>
        <w:t>l</w:t>
      </w:r>
      <w:r w:rsidR="00790624" w:rsidRPr="00967C11">
        <w:rPr>
          <w:rFonts w:ascii="Bookman Old Style" w:eastAsia="Times New Roman" w:hAnsi="Bookman Old Style" w:cs="Arial"/>
          <w:sz w:val="28"/>
          <w:szCs w:val="28"/>
        </w:rPr>
        <w:t xml:space="preserve"> </w:t>
      </w:r>
      <w:r w:rsidR="00790624" w:rsidRPr="00967C11">
        <w:rPr>
          <w:rFonts w:ascii="Bookman Old Style" w:eastAsia="Times New Roman" w:hAnsi="Bookman Old Style" w:cs="Arial"/>
          <w:sz w:val="28"/>
          <w:szCs w:val="28"/>
        </w:rPr>
        <w:lastRenderedPageBreak/>
        <w:t>C.C</w:t>
      </w:r>
      <w:r w:rsidR="002D30F9" w:rsidRPr="00967C11">
        <w:rPr>
          <w:rFonts w:ascii="Bookman Old Style" w:eastAsia="Times New Roman" w:hAnsi="Bookman Old Style" w:cs="Arial"/>
          <w:sz w:val="28"/>
          <w:szCs w:val="28"/>
        </w:rPr>
        <w:t>.</w:t>
      </w:r>
      <w:r w:rsidR="00AB36BB" w:rsidRPr="00967C11">
        <w:rPr>
          <w:rFonts w:ascii="Bookman Old Style" w:eastAsia="Times New Roman" w:hAnsi="Bookman Old Style" w:cs="Arial"/>
          <w:sz w:val="28"/>
          <w:szCs w:val="28"/>
        </w:rPr>
        <w:t>, la cual se mantiene indemne</w:t>
      </w:r>
      <w:r w:rsidR="00242B78">
        <w:rPr>
          <w:rFonts w:ascii="Bookman Old Style" w:eastAsia="Times New Roman" w:hAnsi="Bookman Old Style" w:cs="Arial"/>
          <w:sz w:val="28"/>
          <w:szCs w:val="28"/>
        </w:rPr>
        <w:t>, quedando por fuera de decisión en esta oportunidad</w:t>
      </w:r>
      <w:r w:rsidR="00AB36BB" w:rsidRPr="00967C11">
        <w:rPr>
          <w:rFonts w:ascii="Bookman Old Style" w:eastAsia="Times New Roman" w:hAnsi="Bookman Old Style" w:cs="Arial"/>
          <w:sz w:val="28"/>
          <w:szCs w:val="28"/>
        </w:rPr>
        <w:t>.</w:t>
      </w:r>
    </w:p>
    <w:p w14:paraId="11F58255" w14:textId="77777777" w:rsidR="001D62B0" w:rsidRDefault="001D62B0" w:rsidP="00CA117D">
      <w:pPr>
        <w:spacing w:line="360" w:lineRule="auto"/>
        <w:ind w:firstLine="709"/>
        <w:jc w:val="both"/>
        <w:rPr>
          <w:rFonts w:ascii="Bookman Old Style" w:eastAsia="Times New Roman" w:hAnsi="Bookman Old Style" w:cs="Arial"/>
          <w:sz w:val="24"/>
          <w:szCs w:val="24"/>
        </w:rPr>
      </w:pPr>
    </w:p>
    <w:p w14:paraId="1295B09D" w14:textId="77777777" w:rsidR="0011716F" w:rsidRPr="00E02596" w:rsidRDefault="00B62E27" w:rsidP="00CA117D">
      <w:pPr>
        <w:spacing w:line="360" w:lineRule="auto"/>
        <w:ind w:firstLine="709"/>
        <w:jc w:val="both"/>
        <w:rPr>
          <w:rFonts w:ascii="Bookman Old Style" w:eastAsia="Times New Roman" w:hAnsi="Bookman Old Style" w:cs="Arial"/>
          <w:sz w:val="28"/>
          <w:szCs w:val="28"/>
        </w:rPr>
      </w:pPr>
      <w:r>
        <w:rPr>
          <w:rFonts w:ascii="Bookman Old Style" w:eastAsia="Times New Roman" w:hAnsi="Bookman Old Style" w:cs="Arial"/>
          <w:sz w:val="28"/>
          <w:szCs w:val="28"/>
        </w:rPr>
        <w:t>4</w:t>
      </w:r>
      <w:r w:rsidR="001D62B0" w:rsidRPr="00E02596">
        <w:rPr>
          <w:rFonts w:ascii="Bookman Old Style" w:eastAsia="Times New Roman" w:hAnsi="Bookman Old Style" w:cs="Arial"/>
          <w:sz w:val="28"/>
          <w:szCs w:val="28"/>
        </w:rPr>
        <w:t>.</w:t>
      </w:r>
      <w:r w:rsidR="00B66295" w:rsidRPr="00E02596">
        <w:rPr>
          <w:rFonts w:ascii="Bookman Old Style" w:eastAsia="Times New Roman" w:hAnsi="Bookman Old Style" w:cs="Arial"/>
          <w:sz w:val="28"/>
          <w:szCs w:val="28"/>
        </w:rPr>
        <w:t xml:space="preserve"> </w:t>
      </w:r>
      <w:r w:rsidR="00790624" w:rsidRPr="00E02596">
        <w:rPr>
          <w:rFonts w:ascii="Bookman Old Style" w:eastAsia="Times New Roman" w:hAnsi="Bookman Old Style" w:cs="Arial"/>
          <w:sz w:val="28"/>
          <w:szCs w:val="28"/>
        </w:rPr>
        <w:t>El recurso de apelación propuest</w:t>
      </w:r>
      <w:r w:rsidR="00BF1159" w:rsidRPr="00E02596">
        <w:rPr>
          <w:rFonts w:ascii="Bookman Old Style" w:eastAsia="Times New Roman" w:hAnsi="Bookman Old Style" w:cs="Arial"/>
          <w:sz w:val="28"/>
          <w:szCs w:val="28"/>
        </w:rPr>
        <w:t>o</w:t>
      </w:r>
      <w:r w:rsidR="00790624" w:rsidRPr="00E02596">
        <w:rPr>
          <w:rFonts w:ascii="Bookman Old Style" w:eastAsia="Times New Roman" w:hAnsi="Bookman Old Style" w:cs="Arial"/>
          <w:sz w:val="28"/>
          <w:szCs w:val="28"/>
        </w:rPr>
        <w:t xml:space="preserve"> por la demandada, en esencia, cuestiona</w:t>
      </w:r>
      <w:r w:rsidR="00BF1159" w:rsidRPr="00E02596">
        <w:rPr>
          <w:rFonts w:ascii="Bookman Old Style" w:eastAsia="Times New Roman" w:hAnsi="Bookman Old Style" w:cs="Arial"/>
          <w:sz w:val="28"/>
          <w:szCs w:val="28"/>
        </w:rPr>
        <w:t xml:space="preserve"> que el promotor no haya impugnado el acto jurídico de disolución de la sociedad conyugal, ya que la </w:t>
      </w:r>
      <w:r w:rsidR="00BF1159" w:rsidRPr="003643C5">
        <w:rPr>
          <w:rFonts w:ascii="Bookman Old Style" w:eastAsia="Times New Roman" w:hAnsi="Bookman Old Style" w:cs="Arial"/>
          <w:i/>
          <w:iCs/>
          <w:sz w:val="28"/>
          <w:szCs w:val="28"/>
        </w:rPr>
        <w:t>inoponibilidad</w:t>
      </w:r>
      <w:r w:rsidR="00BF1159" w:rsidRPr="00E02596">
        <w:rPr>
          <w:rFonts w:ascii="Bookman Old Style" w:eastAsia="Times New Roman" w:hAnsi="Bookman Old Style" w:cs="Arial"/>
          <w:sz w:val="28"/>
          <w:szCs w:val="28"/>
        </w:rPr>
        <w:t xml:space="preserve"> no afecta su existencia ni su validez</w:t>
      </w:r>
      <w:r w:rsidR="00E95C9D" w:rsidRPr="00E02596">
        <w:rPr>
          <w:rFonts w:ascii="Bookman Old Style" w:eastAsia="Times New Roman" w:hAnsi="Bookman Old Style" w:cs="Arial"/>
          <w:sz w:val="28"/>
          <w:szCs w:val="28"/>
        </w:rPr>
        <w:t>.</w:t>
      </w:r>
    </w:p>
    <w:p w14:paraId="13A53BEF" w14:textId="77777777" w:rsidR="0011716F" w:rsidRDefault="0011716F" w:rsidP="00CA117D">
      <w:pPr>
        <w:spacing w:line="360" w:lineRule="auto"/>
        <w:ind w:firstLine="709"/>
        <w:jc w:val="both"/>
        <w:rPr>
          <w:rFonts w:ascii="Bookman Old Style" w:eastAsia="Times New Roman" w:hAnsi="Bookman Old Style" w:cs="Arial"/>
          <w:sz w:val="24"/>
          <w:szCs w:val="24"/>
        </w:rPr>
      </w:pPr>
    </w:p>
    <w:p w14:paraId="44F90732" w14:textId="77777777" w:rsidR="00594FB1" w:rsidRDefault="002D30F9" w:rsidP="00CA117D">
      <w:pPr>
        <w:spacing w:line="360" w:lineRule="auto"/>
        <w:ind w:firstLine="709"/>
        <w:jc w:val="both"/>
        <w:rPr>
          <w:rFonts w:ascii="Bookman Old Style" w:eastAsia="Times New Roman" w:hAnsi="Bookman Old Style" w:cs="Arial"/>
          <w:i/>
          <w:sz w:val="24"/>
          <w:szCs w:val="24"/>
        </w:rPr>
      </w:pPr>
      <w:r w:rsidRPr="002D3177">
        <w:rPr>
          <w:rFonts w:ascii="Bookman Old Style" w:eastAsia="Times New Roman" w:hAnsi="Bookman Old Style" w:cs="Arial"/>
          <w:sz w:val="28"/>
          <w:szCs w:val="28"/>
        </w:rPr>
        <w:t xml:space="preserve">También </w:t>
      </w:r>
      <w:r w:rsidR="0011716F" w:rsidRPr="002D3177">
        <w:rPr>
          <w:rFonts w:ascii="Bookman Old Style" w:eastAsia="Times New Roman" w:hAnsi="Bookman Old Style" w:cs="Arial"/>
          <w:sz w:val="28"/>
          <w:szCs w:val="28"/>
        </w:rPr>
        <w:t>muestra su inconformidad</w:t>
      </w:r>
      <w:r w:rsidRPr="002D3177">
        <w:rPr>
          <w:rFonts w:ascii="Bookman Old Style" w:eastAsia="Times New Roman" w:hAnsi="Bookman Old Style" w:cs="Arial"/>
          <w:sz w:val="28"/>
          <w:szCs w:val="28"/>
        </w:rPr>
        <w:t xml:space="preserve"> </w:t>
      </w:r>
      <w:r w:rsidR="0011716F" w:rsidRPr="002D3177">
        <w:rPr>
          <w:rFonts w:ascii="Bookman Old Style" w:eastAsia="Times New Roman" w:hAnsi="Bookman Old Style" w:cs="Arial"/>
          <w:sz w:val="28"/>
          <w:szCs w:val="28"/>
        </w:rPr>
        <w:t>en</w:t>
      </w:r>
      <w:r w:rsidRPr="002D3177">
        <w:rPr>
          <w:rFonts w:ascii="Bookman Old Style" w:eastAsia="Times New Roman" w:hAnsi="Bookman Old Style" w:cs="Arial"/>
          <w:sz w:val="28"/>
          <w:szCs w:val="28"/>
        </w:rPr>
        <w:t xml:space="preserve"> que el juez</w:t>
      </w:r>
      <w:r w:rsidR="008B229A" w:rsidRPr="002D3177">
        <w:rPr>
          <w:rFonts w:ascii="Bookman Old Style" w:eastAsia="Times New Roman" w:hAnsi="Bookman Old Style" w:cs="Arial"/>
          <w:sz w:val="28"/>
          <w:szCs w:val="28"/>
        </w:rPr>
        <w:t>, según su dicho,</w:t>
      </w:r>
      <w:r w:rsidR="0011716F" w:rsidRPr="002D3177">
        <w:rPr>
          <w:rFonts w:ascii="Bookman Old Style" w:eastAsia="Times New Roman" w:hAnsi="Bookman Old Style" w:cs="Arial"/>
          <w:sz w:val="28"/>
          <w:szCs w:val="28"/>
        </w:rPr>
        <w:t xml:space="preserve"> incorrectamente integró un litisconsorcio necesario en la parte activa, cuando ha debido hacerlo en la pasiva, pero no lo hizo, con base en que</w:t>
      </w:r>
      <w:r w:rsidR="0011716F">
        <w:rPr>
          <w:rFonts w:ascii="Bookman Old Style" w:eastAsia="Times New Roman" w:hAnsi="Bookman Old Style" w:cs="Arial"/>
          <w:sz w:val="24"/>
          <w:szCs w:val="24"/>
        </w:rPr>
        <w:t xml:space="preserve"> «</w:t>
      </w:r>
      <w:r w:rsidR="0011716F" w:rsidRPr="0011716F">
        <w:rPr>
          <w:rFonts w:ascii="Bookman Old Style" w:eastAsia="Times New Roman" w:hAnsi="Bookman Old Style" w:cs="Arial"/>
          <w:i/>
          <w:sz w:val="24"/>
          <w:szCs w:val="24"/>
        </w:rPr>
        <w:t>quienes</w:t>
      </w:r>
      <w:r w:rsidR="0011716F">
        <w:rPr>
          <w:rFonts w:ascii="Bookman Old Style" w:eastAsia="Times New Roman" w:hAnsi="Bookman Old Style" w:cs="Arial"/>
          <w:i/>
          <w:sz w:val="24"/>
          <w:szCs w:val="24"/>
        </w:rPr>
        <w:t xml:space="preserve"> no han concurrido al proceso a invocar la inoponibilidad no pueden beneficiarse de ella</w:t>
      </w:r>
      <w:r w:rsidR="00F318F8">
        <w:rPr>
          <w:rFonts w:ascii="Bookman Old Style" w:eastAsia="Times New Roman" w:hAnsi="Bookman Old Style" w:cs="Arial"/>
          <w:i/>
          <w:sz w:val="24"/>
          <w:szCs w:val="24"/>
        </w:rPr>
        <w:t>, (…) y el juez de primer grado terminó diciendo que es inoponible a todos los herederos, falló extrapetita o fall</w:t>
      </w:r>
      <w:r w:rsidR="00EE5724">
        <w:rPr>
          <w:rFonts w:ascii="Bookman Old Style" w:eastAsia="Times New Roman" w:hAnsi="Bookman Old Style" w:cs="Arial"/>
          <w:i/>
          <w:sz w:val="24"/>
          <w:szCs w:val="24"/>
        </w:rPr>
        <w:t>ó</w:t>
      </w:r>
      <w:r w:rsidR="00F318F8">
        <w:rPr>
          <w:rFonts w:ascii="Bookman Old Style" w:eastAsia="Times New Roman" w:hAnsi="Bookman Old Style" w:cs="Arial"/>
          <w:i/>
          <w:sz w:val="24"/>
          <w:szCs w:val="24"/>
        </w:rPr>
        <w:t xml:space="preserve"> frente a personas que no tenían legitimación activa, (…) lo que se quería impugnar era la escritura pública y allí ha debido integrarse el litisconsorcio… que con los herederos de </w:t>
      </w:r>
      <w:r w:rsidR="00AE43C6">
        <w:rPr>
          <w:rFonts w:ascii="Bookman Old Style" w:eastAsia="Times New Roman" w:hAnsi="Bookman Old Style" w:cs="Arial"/>
          <w:i/>
          <w:sz w:val="24"/>
          <w:szCs w:val="24"/>
        </w:rPr>
        <w:t>[</w:t>
      </w:r>
      <w:r w:rsidR="00F318F8">
        <w:rPr>
          <w:rFonts w:ascii="Bookman Old Style" w:eastAsia="Times New Roman" w:hAnsi="Bookman Old Style" w:cs="Arial"/>
          <w:i/>
          <w:sz w:val="24"/>
          <w:szCs w:val="24"/>
        </w:rPr>
        <w:t xml:space="preserve">Álvaro Gómez Prada]».  </w:t>
      </w:r>
    </w:p>
    <w:p w14:paraId="2095D050" w14:textId="77777777" w:rsidR="00594FB1" w:rsidRDefault="00594FB1" w:rsidP="00CA117D">
      <w:pPr>
        <w:spacing w:line="360" w:lineRule="auto"/>
        <w:ind w:firstLine="709"/>
        <w:jc w:val="both"/>
        <w:rPr>
          <w:rFonts w:ascii="Bookman Old Style" w:eastAsia="Times New Roman" w:hAnsi="Bookman Old Style" w:cs="Arial"/>
          <w:sz w:val="24"/>
          <w:szCs w:val="24"/>
        </w:rPr>
      </w:pPr>
    </w:p>
    <w:p w14:paraId="2E653F44" w14:textId="77777777" w:rsidR="00FA6665" w:rsidRDefault="002D30F9" w:rsidP="00D31F30">
      <w:pPr>
        <w:spacing w:line="360" w:lineRule="auto"/>
        <w:ind w:firstLine="709"/>
        <w:jc w:val="both"/>
        <w:rPr>
          <w:rFonts w:ascii="Bookman Old Style" w:eastAsia="Times New Roman" w:hAnsi="Bookman Old Style" w:cs="Arial"/>
          <w:sz w:val="28"/>
          <w:szCs w:val="28"/>
        </w:rPr>
      </w:pPr>
      <w:r w:rsidRPr="004637D6">
        <w:rPr>
          <w:rFonts w:ascii="Bookman Old Style" w:eastAsia="Times New Roman" w:hAnsi="Bookman Old Style" w:cs="Arial"/>
          <w:sz w:val="28"/>
          <w:szCs w:val="28"/>
        </w:rPr>
        <w:t>Asimismo, afirma la falta de legitimación en causa</w:t>
      </w:r>
      <w:r w:rsidR="00DB0A6B">
        <w:rPr>
          <w:rFonts w:ascii="Bookman Old Style" w:eastAsia="Times New Roman" w:hAnsi="Bookman Old Style" w:cs="Arial"/>
          <w:sz w:val="28"/>
          <w:szCs w:val="28"/>
        </w:rPr>
        <w:t xml:space="preserve"> por</w:t>
      </w:r>
      <w:r w:rsidRPr="004637D6">
        <w:rPr>
          <w:rFonts w:ascii="Bookman Old Style" w:eastAsia="Times New Roman" w:hAnsi="Bookman Old Style" w:cs="Arial"/>
          <w:sz w:val="28"/>
          <w:szCs w:val="28"/>
        </w:rPr>
        <w:t xml:space="preserve"> activa a partir del entendimiento que el demandante actuó como heredero</w:t>
      </w:r>
      <w:r w:rsidR="00877CA8" w:rsidRPr="004637D6">
        <w:rPr>
          <w:rFonts w:ascii="Bookman Old Style" w:eastAsia="Times New Roman" w:hAnsi="Bookman Old Style" w:cs="Arial"/>
          <w:sz w:val="28"/>
          <w:szCs w:val="28"/>
        </w:rPr>
        <w:t xml:space="preserve"> del señor Álvaro Gómez Prada y no en calidad de tercero, porque invocó la inoponibilidad en beneficio de los herederos de este y no en nombre propio</w:t>
      </w:r>
      <w:r w:rsidR="00DB0A6B">
        <w:rPr>
          <w:rFonts w:ascii="Bookman Old Style" w:eastAsia="Times New Roman" w:hAnsi="Bookman Old Style" w:cs="Arial"/>
          <w:sz w:val="28"/>
          <w:szCs w:val="28"/>
        </w:rPr>
        <w:t>.</w:t>
      </w:r>
      <w:r w:rsidR="00877CA8" w:rsidRPr="004637D6">
        <w:rPr>
          <w:rFonts w:ascii="Bookman Old Style" w:eastAsia="Times New Roman" w:hAnsi="Bookman Old Style" w:cs="Arial"/>
          <w:sz w:val="28"/>
          <w:szCs w:val="28"/>
        </w:rPr>
        <w:t xml:space="preserve"> </w:t>
      </w:r>
      <w:r w:rsidR="00DB0A6B">
        <w:rPr>
          <w:rFonts w:ascii="Bookman Old Style" w:eastAsia="Times New Roman" w:hAnsi="Bookman Old Style" w:cs="Arial"/>
          <w:sz w:val="28"/>
          <w:szCs w:val="28"/>
        </w:rPr>
        <w:t>D</w:t>
      </w:r>
      <w:r w:rsidR="00877CA8" w:rsidRPr="004637D6">
        <w:rPr>
          <w:rFonts w:ascii="Bookman Old Style" w:eastAsia="Times New Roman" w:hAnsi="Bookman Old Style" w:cs="Arial"/>
          <w:sz w:val="28"/>
          <w:szCs w:val="28"/>
        </w:rPr>
        <w:t>el mismo modo</w:t>
      </w:r>
      <w:r w:rsidR="00904DA2">
        <w:rPr>
          <w:rFonts w:ascii="Bookman Old Style" w:eastAsia="Times New Roman" w:hAnsi="Bookman Old Style" w:cs="Arial"/>
          <w:sz w:val="28"/>
          <w:szCs w:val="28"/>
        </w:rPr>
        <w:t>,</w:t>
      </w:r>
      <w:r w:rsidR="00877CA8" w:rsidRPr="004637D6">
        <w:rPr>
          <w:rFonts w:ascii="Bookman Old Style" w:eastAsia="Times New Roman" w:hAnsi="Bookman Old Style" w:cs="Arial"/>
          <w:sz w:val="28"/>
          <w:szCs w:val="28"/>
        </w:rPr>
        <w:t xml:space="preserve"> existe falta de legitimación en causa pasiva </w:t>
      </w:r>
      <w:r w:rsidR="00B76166" w:rsidRPr="004637D6">
        <w:rPr>
          <w:rFonts w:ascii="Bookman Old Style" w:eastAsia="Times New Roman" w:hAnsi="Bookman Old Style" w:cs="Arial"/>
          <w:sz w:val="28"/>
          <w:szCs w:val="28"/>
        </w:rPr>
        <w:t>puesto que</w:t>
      </w:r>
      <w:r w:rsidR="00877CA8" w:rsidRPr="004637D6">
        <w:rPr>
          <w:rFonts w:ascii="Bookman Old Style" w:eastAsia="Times New Roman" w:hAnsi="Bookman Old Style" w:cs="Arial"/>
          <w:sz w:val="28"/>
          <w:szCs w:val="28"/>
        </w:rPr>
        <w:t xml:space="preserve"> la demanda ha debido dirigirse contra los herederos determinados e indeterminados de Álvaro Gómez Prada</w:t>
      </w:r>
      <w:r w:rsidR="00E030BB">
        <w:rPr>
          <w:rFonts w:ascii="Bookman Old Style" w:eastAsia="Times New Roman" w:hAnsi="Bookman Old Style" w:cs="Arial"/>
          <w:sz w:val="28"/>
          <w:szCs w:val="28"/>
        </w:rPr>
        <w:t>.</w:t>
      </w:r>
      <w:r w:rsidR="00877CA8" w:rsidRPr="004637D6">
        <w:rPr>
          <w:rFonts w:ascii="Bookman Old Style" w:eastAsia="Times New Roman" w:hAnsi="Bookman Old Style" w:cs="Arial"/>
          <w:sz w:val="28"/>
          <w:szCs w:val="28"/>
        </w:rPr>
        <w:t xml:space="preserve"> </w:t>
      </w:r>
      <w:r w:rsidR="00E030BB">
        <w:rPr>
          <w:rFonts w:ascii="Bookman Old Style" w:eastAsia="Times New Roman" w:hAnsi="Bookman Old Style" w:cs="Arial"/>
          <w:sz w:val="28"/>
          <w:szCs w:val="28"/>
        </w:rPr>
        <w:t>Y</w:t>
      </w:r>
      <w:r w:rsidR="00877CA8" w:rsidRPr="004637D6">
        <w:rPr>
          <w:rFonts w:ascii="Bookman Old Style" w:eastAsia="Times New Roman" w:hAnsi="Bookman Old Style" w:cs="Arial"/>
          <w:sz w:val="28"/>
          <w:szCs w:val="28"/>
        </w:rPr>
        <w:t xml:space="preserve"> no únicamente contra Mery Hernández de Gómez, ya que el objeto de la acción es el acto jurídico unilateral de renuncia </w:t>
      </w:r>
      <w:r w:rsidR="002963BC" w:rsidRPr="004637D6">
        <w:rPr>
          <w:rFonts w:ascii="Bookman Old Style" w:eastAsia="Times New Roman" w:hAnsi="Bookman Old Style" w:cs="Arial"/>
          <w:sz w:val="28"/>
          <w:szCs w:val="28"/>
        </w:rPr>
        <w:t>a</w:t>
      </w:r>
      <w:r w:rsidR="00877CA8" w:rsidRPr="004637D6">
        <w:rPr>
          <w:rFonts w:ascii="Bookman Old Style" w:eastAsia="Times New Roman" w:hAnsi="Bookman Old Style" w:cs="Arial"/>
          <w:sz w:val="28"/>
          <w:szCs w:val="28"/>
        </w:rPr>
        <w:t xml:space="preserve"> gananciales que hiciere el mencionado finado.</w:t>
      </w:r>
    </w:p>
    <w:p w14:paraId="7D38E200" w14:textId="77777777" w:rsidR="00CA6ABA" w:rsidRPr="00D31F30" w:rsidRDefault="00CA6ABA" w:rsidP="00D31F30">
      <w:pPr>
        <w:spacing w:line="360" w:lineRule="auto"/>
        <w:ind w:firstLine="709"/>
        <w:jc w:val="both"/>
        <w:rPr>
          <w:rFonts w:ascii="Bookman Old Style" w:eastAsia="Times New Roman" w:hAnsi="Bookman Old Style" w:cs="Arial"/>
          <w:sz w:val="28"/>
          <w:szCs w:val="28"/>
        </w:rPr>
      </w:pPr>
    </w:p>
    <w:p w14:paraId="0A431316" w14:textId="77777777" w:rsidR="00701D70" w:rsidRPr="00E263EA" w:rsidRDefault="00AB02B9" w:rsidP="00FE43AE">
      <w:pPr>
        <w:spacing w:line="360" w:lineRule="auto"/>
        <w:ind w:firstLine="709"/>
        <w:jc w:val="both"/>
        <w:rPr>
          <w:rFonts w:ascii="Bookman Old Style" w:eastAsia="Times New Roman" w:hAnsi="Bookman Old Style" w:cs="Arial"/>
          <w:sz w:val="28"/>
          <w:szCs w:val="28"/>
        </w:rPr>
      </w:pPr>
      <w:r>
        <w:rPr>
          <w:rFonts w:ascii="Bookman Old Style" w:eastAsia="Times New Roman" w:hAnsi="Bookman Old Style" w:cs="Arial"/>
          <w:sz w:val="28"/>
          <w:szCs w:val="28"/>
        </w:rPr>
        <w:t>5</w:t>
      </w:r>
      <w:r w:rsidR="00FA6665" w:rsidRPr="00E263EA">
        <w:rPr>
          <w:rFonts w:ascii="Bookman Old Style" w:eastAsia="Times New Roman" w:hAnsi="Bookman Old Style" w:cs="Arial"/>
          <w:sz w:val="28"/>
          <w:szCs w:val="28"/>
        </w:rPr>
        <w:t xml:space="preserve">. La discusión relacionada </w:t>
      </w:r>
      <w:r w:rsidR="00943032">
        <w:rPr>
          <w:rFonts w:ascii="Bookman Old Style" w:eastAsia="Times New Roman" w:hAnsi="Bookman Old Style" w:cs="Arial"/>
          <w:sz w:val="28"/>
          <w:szCs w:val="28"/>
        </w:rPr>
        <w:t xml:space="preserve">en torno a la calidad invocada </w:t>
      </w:r>
      <w:r w:rsidR="003D1861">
        <w:rPr>
          <w:rFonts w:ascii="Bookman Old Style" w:eastAsia="Times New Roman" w:hAnsi="Bookman Old Style" w:cs="Arial"/>
          <w:sz w:val="28"/>
          <w:szCs w:val="28"/>
        </w:rPr>
        <w:t xml:space="preserve">por </w:t>
      </w:r>
      <w:r w:rsidR="003D1861" w:rsidRPr="00E263EA">
        <w:rPr>
          <w:rFonts w:ascii="Bookman Old Style" w:eastAsia="Times New Roman" w:hAnsi="Bookman Old Style" w:cs="Arial"/>
          <w:sz w:val="28"/>
          <w:szCs w:val="28"/>
        </w:rPr>
        <w:t>el</w:t>
      </w:r>
      <w:r w:rsidR="00FA6665" w:rsidRPr="00E263EA">
        <w:rPr>
          <w:rFonts w:ascii="Bookman Old Style" w:eastAsia="Times New Roman" w:hAnsi="Bookman Old Style" w:cs="Arial"/>
          <w:sz w:val="28"/>
          <w:szCs w:val="28"/>
        </w:rPr>
        <w:t xml:space="preserve"> convocante</w:t>
      </w:r>
      <w:r w:rsidR="00943032">
        <w:rPr>
          <w:rFonts w:ascii="Bookman Old Style" w:eastAsia="Times New Roman" w:hAnsi="Bookman Old Style" w:cs="Arial"/>
          <w:sz w:val="28"/>
          <w:szCs w:val="28"/>
        </w:rPr>
        <w:t xml:space="preserve"> de heredero legitimario</w:t>
      </w:r>
      <w:r w:rsidR="00FA6665" w:rsidRPr="00E263EA">
        <w:rPr>
          <w:rFonts w:ascii="Bookman Old Style" w:eastAsia="Times New Roman" w:hAnsi="Bookman Old Style" w:cs="Arial"/>
          <w:sz w:val="28"/>
          <w:szCs w:val="28"/>
        </w:rPr>
        <w:t xml:space="preserve"> para efectos de la </w:t>
      </w:r>
      <w:r w:rsidR="009A2A0A">
        <w:rPr>
          <w:rFonts w:ascii="Bookman Old Style" w:eastAsia="Times New Roman" w:hAnsi="Bookman Old Style" w:cs="Arial"/>
          <w:sz w:val="28"/>
          <w:szCs w:val="28"/>
        </w:rPr>
        <w:t xml:space="preserve">aplicación </w:t>
      </w:r>
      <w:r w:rsidR="006E22AC" w:rsidRPr="00E263EA">
        <w:rPr>
          <w:rFonts w:ascii="Bookman Old Style" w:eastAsia="Times New Roman" w:hAnsi="Bookman Old Style" w:cs="Arial"/>
          <w:sz w:val="28"/>
          <w:szCs w:val="28"/>
        </w:rPr>
        <w:t xml:space="preserve">del </w:t>
      </w:r>
      <w:r w:rsidR="004F3E87" w:rsidRPr="00E263EA">
        <w:rPr>
          <w:rFonts w:ascii="Bookman Old Style" w:eastAsia="Times New Roman" w:hAnsi="Bookman Old Style" w:cs="Arial"/>
          <w:sz w:val="28"/>
          <w:szCs w:val="28"/>
        </w:rPr>
        <w:t>artículo 1775 del Código Civil,</w:t>
      </w:r>
      <w:r w:rsidR="00FA6665" w:rsidRPr="00E263EA">
        <w:rPr>
          <w:rFonts w:ascii="Bookman Old Style" w:eastAsia="Times New Roman" w:hAnsi="Bookman Old Style" w:cs="Arial"/>
          <w:sz w:val="28"/>
          <w:szCs w:val="28"/>
        </w:rPr>
        <w:t xml:space="preserve"> ya fue objeto de análisis cuando se estudiaron los cargos</w:t>
      </w:r>
      <w:r w:rsidR="0047719B">
        <w:rPr>
          <w:rFonts w:ascii="Bookman Old Style" w:eastAsia="Times New Roman" w:hAnsi="Bookman Old Style" w:cs="Arial"/>
          <w:sz w:val="28"/>
          <w:szCs w:val="28"/>
        </w:rPr>
        <w:t>. En efecto, para la Corte</w:t>
      </w:r>
      <w:r w:rsidR="004F3E87" w:rsidRPr="00E263EA">
        <w:rPr>
          <w:rFonts w:ascii="Bookman Old Style" w:eastAsia="Times New Roman" w:hAnsi="Bookman Old Style" w:cs="Arial"/>
          <w:sz w:val="28"/>
          <w:szCs w:val="28"/>
        </w:rPr>
        <w:t xml:space="preserve"> </w:t>
      </w:r>
      <w:r w:rsidR="00E030BB">
        <w:rPr>
          <w:rFonts w:ascii="Bookman Old Style" w:eastAsia="Times New Roman" w:hAnsi="Bookman Old Style" w:cs="Arial"/>
          <w:sz w:val="28"/>
          <w:szCs w:val="28"/>
        </w:rPr>
        <w:t>esta cuestión está</w:t>
      </w:r>
      <w:r w:rsidR="004F3E87" w:rsidRPr="00E263EA">
        <w:rPr>
          <w:rFonts w:ascii="Bookman Old Style" w:eastAsia="Times New Roman" w:hAnsi="Bookman Old Style" w:cs="Arial"/>
          <w:sz w:val="28"/>
          <w:szCs w:val="28"/>
        </w:rPr>
        <w:t xml:space="preserve"> zanjada</w:t>
      </w:r>
      <w:r w:rsidR="00DB0A6B">
        <w:rPr>
          <w:rFonts w:ascii="Bookman Old Style" w:eastAsia="Times New Roman" w:hAnsi="Bookman Old Style" w:cs="Arial"/>
          <w:sz w:val="28"/>
          <w:szCs w:val="28"/>
        </w:rPr>
        <w:t>:</w:t>
      </w:r>
      <w:r w:rsidR="004F3E87" w:rsidRPr="00E263EA">
        <w:rPr>
          <w:rFonts w:ascii="Bookman Old Style" w:eastAsia="Times New Roman" w:hAnsi="Bookman Old Style" w:cs="Arial"/>
          <w:sz w:val="28"/>
          <w:szCs w:val="28"/>
        </w:rPr>
        <w:t xml:space="preserve"> el demandante es tercero por cuanto accionó en defensa de un derecho propio</w:t>
      </w:r>
      <w:r w:rsidR="0047719B">
        <w:rPr>
          <w:rFonts w:ascii="Bookman Old Style" w:eastAsia="Times New Roman" w:hAnsi="Bookman Old Style" w:cs="Arial"/>
          <w:sz w:val="28"/>
          <w:szCs w:val="28"/>
        </w:rPr>
        <w:t xml:space="preserve"> -</w:t>
      </w:r>
      <w:r w:rsidR="0005562A">
        <w:rPr>
          <w:rFonts w:ascii="Bookman Old Style" w:eastAsia="Times New Roman" w:hAnsi="Bookman Old Style" w:cs="Arial"/>
          <w:sz w:val="28"/>
          <w:szCs w:val="28"/>
        </w:rPr>
        <w:t>su</w:t>
      </w:r>
      <w:r w:rsidR="004F3E87" w:rsidRPr="00E263EA">
        <w:rPr>
          <w:rFonts w:ascii="Bookman Old Style" w:eastAsia="Times New Roman" w:hAnsi="Bookman Old Style" w:cs="Arial"/>
          <w:sz w:val="28"/>
          <w:szCs w:val="28"/>
        </w:rPr>
        <w:t xml:space="preserve"> legítima rigurosa</w:t>
      </w:r>
      <w:r w:rsidR="0047719B">
        <w:rPr>
          <w:rFonts w:ascii="Bookman Old Style" w:eastAsia="Times New Roman" w:hAnsi="Bookman Old Style" w:cs="Arial"/>
          <w:sz w:val="28"/>
          <w:szCs w:val="28"/>
        </w:rPr>
        <w:t>-</w:t>
      </w:r>
      <w:r w:rsidR="004F3E87" w:rsidRPr="00E263EA">
        <w:rPr>
          <w:rFonts w:ascii="Bookman Old Style" w:eastAsia="Times New Roman" w:hAnsi="Bookman Old Style" w:cs="Arial"/>
          <w:sz w:val="28"/>
          <w:szCs w:val="28"/>
        </w:rPr>
        <w:t xml:space="preserve">. </w:t>
      </w:r>
      <w:r w:rsidR="006E22AC" w:rsidRPr="00E263EA">
        <w:rPr>
          <w:rFonts w:ascii="Bookman Old Style" w:eastAsia="Times New Roman" w:hAnsi="Bookman Old Style" w:cs="Arial"/>
          <w:sz w:val="28"/>
          <w:szCs w:val="28"/>
        </w:rPr>
        <w:t xml:space="preserve">Por consiguiente, </w:t>
      </w:r>
      <w:r w:rsidR="00F20735" w:rsidRPr="00E263EA">
        <w:rPr>
          <w:rFonts w:ascii="Bookman Old Style" w:eastAsia="Times New Roman" w:hAnsi="Bookman Old Style" w:cs="Arial"/>
          <w:sz w:val="28"/>
          <w:szCs w:val="28"/>
        </w:rPr>
        <w:t>siendo tercero interesado</w:t>
      </w:r>
      <w:r w:rsidR="00FE43AE">
        <w:rPr>
          <w:rFonts w:ascii="Bookman Old Style" w:eastAsia="Times New Roman" w:hAnsi="Bookman Old Style" w:cs="Arial"/>
          <w:sz w:val="28"/>
          <w:szCs w:val="28"/>
        </w:rPr>
        <w:t xml:space="preserve"> y</w:t>
      </w:r>
      <w:r w:rsidR="00F20735" w:rsidRPr="00E263EA">
        <w:rPr>
          <w:rFonts w:ascii="Bookman Old Style" w:eastAsia="Times New Roman" w:hAnsi="Bookman Old Style" w:cs="Arial"/>
          <w:sz w:val="28"/>
          <w:szCs w:val="28"/>
        </w:rPr>
        <w:t xml:space="preserve"> perjudicado por la </w:t>
      </w:r>
      <w:r w:rsidR="00FE43AE" w:rsidRPr="00E263EA">
        <w:rPr>
          <w:rFonts w:ascii="Bookman Old Style" w:eastAsia="Times New Roman" w:hAnsi="Bookman Old Style" w:cs="Arial"/>
          <w:sz w:val="28"/>
          <w:szCs w:val="28"/>
        </w:rPr>
        <w:t>aludida</w:t>
      </w:r>
      <w:r w:rsidR="00F20735" w:rsidRPr="00E263EA">
        <w:rPr>
          <w:rFonts w:ascii="Bookman Old Style" w:eastAsia="Times New Roman" w:hAnsi="Bookman Old Style" w:cs="Arial"/>
          <w:sz w:val="28"/>
          <w:szCs w:val="28"/>
        </w:rPr>
        <w:t xml:space="preserve"> renuncia a gananciales, </w:t>
      </w:r>
      <w:r w:rsidR="00D957CF">
        <w:rPr>
          <w:rFonts w:ascii="Bookman Old Style" w:eastAsia="Times New Roman" w:hAnsi="Bookman Old Style" w:cs="Arial"/>
          <w:sz w:val="28"/>
          <w:szCs w:val="28"/>
        </w:rPr>
        <w:t xml:space="preserve">se </w:t>
      </w:r>
      <w:r w:rsidR="00F20735" w:rsidRPr="00E263EA">
        <w:rPr>
          <w:rFonts w:ascii="Bookman Old Style" w:eastAsia="Times New Roman" w:hAnsi="Bookman Old Style" w:cs="Arial"/>
          <w:sz w:val="28"/>
          <w:szCs w:val="28"/>
        </w:rPr>
        <w:t>encu</w:t>
      </w:r>
      <w:r w:rsidR="00D957CF">
        <w:rPr>
          <w:rFonts w:ascii="Bookman Old Style" w:eastAsia="Times New Roman" w:hAnsi="Bookman Old Style" w:cs="Arial"/>
          <w:sz w:val="28"/>
          <w:szCs w:val="28"/>
        </w:rPr>
        <w:t>e</w:t>
      </w:r>
      <w:r w:rsidR="00F20735" w:rsidRPr="00E263EA">
        <w:rPr>
          <w:rFonts w:ascii="Bookman Old Style" w:eastAsia="Times New Roman" w:hAnsi="Bookman Old Style" w:cs="Arial"/>
          <w:sz w:val="28"/>
          <w:szCs w:val="28"/>
        </w:rPr>
        <w:t>nt</w:t>
      </w:r>
      <w:r w:rsidR="00D957CF">
        <w:rPr>
          <w:rFonts w:ascii="Bookman Old Style" w:eastAsia="Times New Roman" w:hAnsi="Bookman Old Style" w:cs="Arial"/>
          <w:sz w:val="28"/>
          <w:szCs w:val="28"/>
        </w:rPr>
        <w:t>ra</w:t>
      </w:r>
      <w:r w:rsidR="00F20735" w:rsidRPr="00E263EA">
        <w:rPr>
          <w:rFonts w:ascii="Bookman Old Style" w:eastAsia="Times New Roman" w:hAnsi="Bookman Old Style" w:cs="Arial"/>
          <w:sz w:val="28"/>
          <w:szCs w:val="28"/>
        </w:rPr>
        <w:t xml:space="preserve"> legitimado para incoar la pretensión de </w:t>
      </w:r>
      <w:r w:rsidR="00F20735" w:rsidRPr="00E030BB">
        <w:rPr>
          <w:rFonts w:ascii="Bookman Old Style" w:eastAsia="Times New Roman" w:hAnsi="Bookman Old Style" w:cs="Arial"/>
          <w:i/>
          <w:iCs/>
          <w:sz w:val="28"/>
          <w:szCs w:val="28"/>
        </w:rPr>
        <w:t>inoponibilidad</w:t>
      </w:r>
      <w:r w:rsidR="004F3E87" w:rsidRPr="00E263EA">
        <w:rPr>
          <w:rFonts w:ascii="Bookman Old Style" w:eastAsia="Times New Roman" w:hAnsi="Bookman Old Style" w:cs="Arial"/>
          <w:sz w:val="28"/>
          <w:szCs w:val="28"/>
        </w:rPr>
        <w:t xml:space="preserve">. </w:t>
      </w:r>
    </w:p>
    <w:p w14:paraId="4A3FFAD9" w14:textId="77777777" w:rsidR="00701D70" w:rsidRDefault="00701D70" w:rsidP="00CA117D">
      <w:pPr>
        <w:spacing w:line="360" w:lineRule="auto"/>
        <w:ind w:firstLine="709"/>
        <w:jc w:val="both"/>
        <w:rPr>
          <w:rFonts w:ascii="Bookman Old Style" w:eastAsia="Times New Roman" w:hAnsi="Bookman Old Style" w:cs="Arial"/>
          <w:sz w:val="24"/>
          <w:szCs w:val="24"/>
        </w:rPr>
      </w:pPr>
    </w:p>
    <w:p w14:paraId="13873818" w14:textId="77777777" w:rsidR="00ED307E" w:rsidRPr="00840B3C" w:rsidRDefault="0090792A" w:rsidP="00CA117D">
      <w:pPr>
        <w:spacing w:line="360" w:lineRule="auto"/>
        <w:ind w:firstLine="709"/>
        <w:jc w:val="both"/>
        <w:rPr>
          <w:rFonts w:ascii="Bookman Old Style" w:eastAsia="Times New Roman" w:hAnsi="Bookman Old Style" w:cs="Arial"/>
          <w:sz w:val="28"/>
          <w:szCs w:val="28"/>
        </w:rPr>
      </w:pPr>
      <w:r w:rsidRPr="0090792A">
        <w:rPr>
          <w:rFonts w:ascii="Bookman Old Style" w:eastAsia="Times New Roman" w:hAnsi="Bookman Old Style" w:cs="Arial"/>
          <w:sz w:val="28"/>
          <w:szCs w:val="28"/>
        </w:rPr>
        <w:t>6</w:t>
      </w:r>
      <w:r w:rsidR="00701D70" w:rsidRPr="0090792A">
        <w:rPr>
          <w:rFonts w:ascii="Bookman Old Style" w:eastAsia="Times New Roman" w:hAnsi="Bookman Old Style" w:cs="Arial"/>
          <w:sz w:val="28"/>
          <w:szCs w:val="28"/>
        </w:rPr>
        <w:t>.</w:t>
      </w:r>
      <w:r w:rsidR="00701D70">
        <w:rPr>
          <w:rFonts w:ascii="Bookman Old Style" w:eastAsia="Times New Roman" w:hAnsi="Bookman Old Style" w:cs="Arial"/>
          <w:sz w:val="24"/>
          <w:szCs w:val="24"/>
        </w:rPr>
        <w:t xml:space="preserve"> </w:t>
      </w:r>
      <w:r w:rsidR="00701D70" w:rsidRPr="00840B3C">
        <w:rPr>
          <w:rFonts w:ascii="Bookman Old Style" w:eastAsia="Times New Roman" w:hAnsi="Bookman Old Style" w:cs="Arial"/>
          <w:sz w:val="28"/>
          <w:szCs w:val="28"/>
        </w:rPr>
        <w:t>Tampoco existe falta de legitimación en causa pasiva si se tiene en cuenta que al proceso era necesario convocar a la demandada M</w:t>
      </w:r>
      <w:r w:rsidR="00B512A5">
        <w:rPr>
          <w:rFonts w:ascii="Bookman Old Style" w:eastAsia="Times New Roman" w:hAnsi="Bookman Old Style" w:cs="Arial"/>
          <w:sz w:val="28"/>
          <w:szCs w:val="28"/>
        </w:rPr>
        <w:t>a</w:t>
      </w:r>
      <w:r w:rsidR="00701D70" w:rsidRPr="00840B3C">
        <w:rPr>
          <w:rFonts w:ascii="Bookman Old Style" w:eastAsia="Times New Roman" w:hAnsi="Bookman Old Style" w:cs="Arial"/>
          <w:sz w:val="28"/>
          <w:szCs w:val="28"/>
        </w:rPr>
        <w:t xml:space="preserve">ry Hernández de Gómez, a pesar de no ser </w:t>
      </w:r>
      <w:r w:rsidR="00E767F5">
        <w:rPr>
          <w:rFonts w:ascii="Bookman Old Style" w:eastAsia="Times New Roman" w:hAnsi="Bookman Old Style" w:cs="Arial"/>
          <w:sz w:val="28"/>
          <w:szCs w:val="28"/>
        </w:rPr>
        <w:t xml:space="preserve">la </w:t>
      </w:r>
      <w:r w:rsidR="00701D70" w:rsidRPr="00840B3C">
        <w:rPr>
          <w:rFonts w:ascii="Bookman Old Style" w:eastAsia="Times New Roman" w:hAnsi="Bookman Old Style" w:cs="Arial"/>
          <w:sz w:val="28"/>
          <w:szCs w:val="28"/>
        </w:rPr>
        <w:t xml:space="preserve">autora de la renuncia, </w:t>
      </w:r>
      <w:r w:rsidR="003B2F0F">
        <w:rPr>
          <w:rFonts w:ascii="Bookman Old Style" w:eastAsia="Times New Roman" w:hAnsi="Bookman Old Style" w:cs="Arial"/>
          <w:sz w:val="28"/>
          <w:szCs w:val="28"/>
        </w:rPr>
        <w:t xml:space="preserve">puesto que </w:t>
      </w:r>
      <w:r w:rsidR="00701D70" w:rsidRPr="00840B3C">
        <w:rPr>
          <w:rFonts w:ascii="Bookman Old Style" w:eastAsia="Times New Roman" w:hAnsi="Bookman Old Style" w:cs="Arial"/>
          <w:sz w:val="28"/>
          <w:szCs w:val="28"/>
        </w:rPr>
        <w:t>finalmente se benefició de ese acto unilateral de su consorte</w:t>
      </w:r>
      <w:r w:rsidR="00ED307E" w:rsidRPr="00840B3C">
        <w:rPr>
          <w:rFonts w:ascii="Bookman Old Style" w:eastAsia="Times New Roman" w:hAnsi="Bookman Old Style" w:cs="Arial"/>
          <w:sz w:val="28"/>
          <w:szCs w:val="28"/>
        </w:rPr>
        <w:t>.</w:t>
      </w:r>
    </w:p>
    <w:p w14:paraId="457F9B5A" w14:textId="77777777" w:rsidR="00ED307E" w:rsidRDefault="00ED307E" w:rsidP="00CA117D">
      <w:pPr>
        <w:spacing w:line="360" w:lineRule="auto"/>
        <w:ind w:firstLine="709"/>
        <w:jc w:val="both"/>
        <w:rPr>
          <w:rFonts w:ascii="Bookman Old Style" w:eastAsia="Times New Roman" w:hAnsi="Bookman Old Style" w:cs="Arial"/>
          <w:sz w:val="24"/>
          <w:szCs w:val="24"/>
        </w:rPr>
      </w:pPr>
    </w:p>
    <w:p w14:paraId="4B77B319" w14:textId="77777777" w:rsidR="0037588D" w:rsidRDefault="00ED307E" w:rsidP="00CA117D">
      <w:pPr>
        <w:spacing w:line="360" w:lineRule="auto"/>
        <w:ind w:firstLine="709"/>
        <w:jc w:val="both"/>
        <w:rPr>
          <w:rFonts w:ascii="Bookman Old Style" w:eastAsia="Times New Roman" w:hAnsi="Bookman Old Style" w:cs="Arial"/>
          <w:sz w:val="28"/>
          <w:szCs w:val="28"/>
        </w:rPr>
      </w:pPr>
      <w:r w:rsidRPr="00E34DAD">
        <w:rPr>
          <w:rFonts w:ascii="Bookman Old Style" w:eastAsia="Times New Roman" w:hAnsi="Bookman Old Style" w:cs="Arial"/>
          <w:sz w:val="28"/>
          <w:szCs w:val="28"/>
        </w:rPr>
        <w:t xml:space="preserve">De la misma manera, el juzgador de primer nivel integró el contradictorio con los herederos del </w:t>
      </w:r>
      <w:r w:rsidR="0047719B" w:rsidRPr="00E34DAD">
        <w:rPr>
          <w:rFonts w:ascii="Bookman Old Style" w:eastAsia="Times New Roman" w:hAnsi="Bookman Old Style" w:cs="Arial"/>
          <w:sz w:val="28"/>
          <w:szCs w:val="28"/>
        </w:rPr>
        <w:t>difunto</w:t>
      </w:r>
      <w:r w:rsidRPr="00E34DAD">
        <w:rPr>
          <w:rFonts w:ascii="Bookman Old Style" w:eastAsia="Times New Roman" w:hAnsi="Bookman Old Style" w:cs="Arial"/>
          <w:sz w:val="28"/>
          <w:szCs w:val="28"/>
        </w:rPr>
        <w:t>, pues el actor no podía ser demandante y demandado al mismo tiempo</w:t>
      </w:r>
      <w:r w:rsidR="00DB0A6B">
        <w:rPr>
          <w:rFonts w:ascii="Bookman Old Style" w:eastAsia="Times New Roman" w:hAnsi="Bookman Old Style" w:cs="Arial"/>
          <w:sz w:val="28"/>
          <w:szCs w:val="28"/>
        </w:rPr>
        <w:t>. R</w:t>
      </w:r>
      <w:r w:rsidRPr="00E34DAD">
        <w:rPr>
          <w:rFonts w:ascii="Bookman Old Style" w:eastAsia="Times New Roman" w:hAnsi="Bookman Old Style" w:cs="Arial"/>
          <w:sz w:val="28"/>
          <w:szCs w:val="28"/>
        </w:rPr>
        <w:t>azonablemente, ante el fallecimiento del renunciante, eran sus herederos los llamados a ocupar su lugar en la parte pasiva</w:t>
      </w:r>
      <w:r w:rsidR="0047719B">
        <w:rPr>
          <w:rFonts w:ascii="Bookman Old Style" w:eastAsia="Times New Roman" w:hAnsi="Bookman Old Style" w:cs="Arial"/>
          <w:sz w:val="28"/>
          <w:szCs w:val="28"/>
        </w:rPr>
        <w:t xml:space="preserve">. </w:t>
      </w:r>
      <w:r w:rsidR="00DB0A6B">
        <w:rPr>
          <w:rFonts w:ascii="Bookman Old Style" w:eastAsia="Times New Roman" w:hAnsi="Bookman Old Style" w:cs="Arial"/>
          <w:sz w:val="28"/>
          <w:szCs w:val="28"/>
        </w:rPr>
        <w:t>D</w:t>
      </w:r>
      <w:r w:rsidR="006E58D0">
        <w:rPr>
          <w:rFonts w:ascii="Bookman Old Style" w:eastAsia="Times New Roman" w:hAnsi="Bookman Old Style" w:cs="Arial"/>
          <w:sz w:val="28"/>
          <w:szCs w:val="28"/>
        </w:rPr>
        <w:t xml:space="preserve">e ahí que </w:t>
      </w:r>
      <w:r w:rsidR="00F35627">
        <w:rPr>
          <w:rFonts w:ascii="Bookman Old Style" w:eastAsia="Times New Roman" w:hAnsi="Bookman Old Style" w:cs="Arial"/>
          <w:sz w:val="28"/>
          <w:szCs w:val="28"/>
        </w:rPr>
        <w:t xml:space="preserve">era imprescindible </w:t>
      </w:r>
      <w:r w:rsidR="0047330F">
        <w:rPr>
          <w:rFonts w:ascii="Bookman Old Style" w:eastAsia="Times New Roman" w:hAnsi="Bookman Old Style" w:cs="Arial"/>
          <w:sz w:val="28"/>
          <w:szCs w:val="28"/>
        </w:rPr>
        <w:t xml:space="preserve">la vinculación de sus herederos, </w:t>
      </w:r>
      <w:r w:rsidR="00F35627">
        <w:rPr>
          <w:rFonts w:ascii="Bookman Old Style" w:eastAsia="Times New Roman" w:hAnsi="Bookman Old Style" w:cs="Arial"/>
          <w:sz w:val="28"/>
          <w:szCs w:val="28"/>
        </w:rPr>
        <w:t xml:space="preserve">aunque no fueron demandados, </w:t>
      </w:r>
      <w:r w:rsidRPr="00E34DAD">
        <w:rPr>
          <w:rFonts w:ascii="Bookman Old Style" w:eastAsia="Times New Roman" w:hAnsi="Bookman Old Style" w:cs="Arial"/>
          <w:sz w:val="28"/>
          <w:szCs w:val="28"/>
        </w:rPr>
        <w:t xml:space="preserve">máxime </w:t>
      </w:r>
      <w:r w:rsidR="0047719B">
        <w:rPr>
          <w:rFonts w:ascii="Bookman Old Style" w:eastAsia="Times New Roman" w:hAnsi="Bookman Old Style" w:cs="Arial"/>
          <w:sz w:val="28"/>
          <w:szCs w:val="28"/>
        </w:rPr>
        <w:t>si</w:t>
      </w:r>
      <w:r w:rsidRPr="00E34DAD">
        <w:rPr>
          <w:rFonts w:ascii="Bookman Old Style" w:eastAsia="Times New Roman" w:hAnsi="Bookman Old Style" w:cs="Arial"/>
          <w:sz w:val="28"/>
          <w:szCs w:val="28"/>
        </w:rPr>
        <w:t xml:space="preserve"> así lo reclamó la demandada en su escrito de bien probado</w:t>
      </w:r>
      <w:r w:rsidR="00146F0F" w:rsidRPr="00E34DAD">
        <w:rPr>
          <w:rFonts w:ascii="Bookman Old Style" w:eastAsia="Times New Roman" w:hAnsi="Bookman Old Style" w:cs="Arial"/>
          <w:sz w:val="28"/>
          <w:szCs w:val="28"/>
        </w:rPr>
        <w:t>, por lo que existe legitimación pasiva</w:t>
      </w:r>
      <w:r w:rsidRPr="00E34DAD">
        <w:rPr>
          <w:rFonts w:ascii="Bookman Old Style" w:eastAsia="Times New Roman" w:hAnsi="Bookman Old Style" w:cs="Arial"/>
          <w:sz w:val="28"/>
          <w:szCs w:val="28"/>
        </w:rPr>
        <w:t xml:space="preserve">. </w:t>
      </w:r>
    </w:p>
    <w:p w14:paraId="4A1E9308" w14:textId="77777777" w:rsidR="0037588D" w:rsidRDefault="0037588D" w:rsidP="00CA117D">
      <w:pPr>
        <w:spacing w:line="360" w:lineRule="auto"/>
        <w:ind w:firstLine="709"/>
        <w:jc w:val="both"/>
        <w:rPr>
          <w:rFonts w:ascii="Bookman Old Style" w:eastAsia="Times New Roman" w:hAnsi="Bookman Old Style" w:cs="Arial"/>
          <w:sz w:val="28"/>
          <w:szCs w:val="28"/>
        </w:rPr>
      </w:pPr>
    </w:p>
    <w:p w14:paraId="11FB88A7" w14:textId="77777777" w:rsidR="00CA117D" w:rsidRPr="00E34DAD" w:rsidRDefault="00EA7644" w:rsidP="00CA117D">
      <w:pPr>
        <w:spacing w:line="360" w:lineRule="auto"/>
        <w:ind w:firstLine="709"/>
        <w:jc w:val="both"/>
        <w:rPr>
          <w:rFonts w:ascii="Bookman Old Style" w:eastAsia="Times New Roman" w:hAnsi="Bookman Old Style" w:cs="Arial"/>
          <w:sz w:val="28"/>
          <w:szCs w:val="28"/>
        </w:rPr>
      </w:pPr>
      <w:r>
        <w:rPr>
          <w:rFonts w:ascii="Bookman Old Style" w:eastAsia="Times New Roman" w:hAnsi="Bookman Old Style" w:cs="Arial"/>
          <w:sz w:val="28"/>
          <w:szCs w:val="28"/>
        </w:rPr>
        <w:lastRenderedPageBreak/>
        <w:t xml:space="preserve">7. </w:t>
      </w:r>
      <w:r w:rsidR="00402181" w:rsidRPr="00E34DAD">
        <w:rPr>
          <w:rFonts w:ascii="Bookman Old Style" w:eastAsia="Times New Roman" w:hAnsi="Bookman Old Style" w:cs="Arial"/>
          <w:sz w:val="28"/>
          <w:szCs w:val="28"/>
        </w:rPr>
        <w:t xml:space="preserve">Situación diferente </w:t>
      </w:r>
      <w:r w:rsidR="00F54499" w:rsidRPr="00E34DAD">
        <w:rPr>
          <w:rFonts w:ascii="Bookman Old Style" w:eastAsia="Times New Roman" w:hAnsi="Bookman Old Style" w:cs="Arial"/>
          <w:sz w:val="28"/>
          <w:szCs w:val="28"/>
        </w:rPr>
        <w:t xml:space="preserve">ocurre </w:t>
      </w:r>
      <w:r w:rsidR="0047719B">
        <w:rPr>
          <w:rFonts w:ascii="Bookman Old Style" w:eastAsia="Times New Roman" w:hAnsi="Bookman Old Style" w:cs="Arial"/>
          <w:sz w:val="28"/>
          <w:szCs w:val="28"/>
        </w:rPr>
        <w:t>-</w:t>
      </w:r>
      <w:r w:rsidR="00F54499" w:rsidRPr="00E34DAD">
        <w:rPr>
          <w:rFonts w:ascii="Bookman Old Style" w:eastAsia="Times New Roman" w:hAnsi="Bookman Old Style" w:cs="Arial"/>
          <w:sz w:val="28"/>
          <w:szCs w:val="28"/>
        </w:rPr>
        <w:t>y en ello tiene razón l</w:t>
      </w:r>
      <w:r w:rsidR="004463A9">
        <w:rPr>
          <w:rFonts w:ascii="Bookman Old Style" w:eastAsia="Times New Roman" w:hAnsi="Bookman Old Style" w:cs="Arial"/>
          <w:sz w:val="28"/>
          <w:szCs w:val="28"/>
        </w:rPr>
        <w:t>a</w:t>
      </w:r>
      <w:r w:rsidR="00F54499" w:rsidRPr="00E34DAD">
        <w:rPr>
          <w:rFonts w:ascii="Bookman Old Style" w:eastAsia="Times New Roman" w:hAnsi="Bookman Old Style" w:cs="Arial"/>
          <w:sz w:val="28"/>
          <w:szCs w:val="28"/>
        </w:rPr>
        <w:t xml:space="preserve"> impugnante</w:t>
      </w:r>
      <w:r w:rsidR="009D295B">
        <w:rPr>
          <w:rFonts w:ascii="Bookman Old Style" w:eastAsia="Times New Roman" w:hAnsi="Bookman Old Style" w:cs="Arial"/>
          <w:sz w:val="28"/>
          <w:szCs w:val="28"/>
        </w:rPr>
        <w:t xml:space="preserve"> señora Mary Hernández de Gómez</w:t>
      </w:r>
      <w:r w:rsidR="0047719B">
        <w:rPr>
          <w:rFonts w:ascii="Bookman Old Style" w:eastAsia="Times New Roman" w:hAnsi="Bookman Old Style" w:cs="Arial"/>
          <w:sz w:val="28"/>
          <w:szCs w:val="28"/>
        </w:rPr>
        <w:t>-</w:t>
      </w:r>
      <w:r w:rsidR="009D295B">
        <w:rPr>
          <w:rFonts w:ascii="Bookman Old Style" w:eastAsia="Times New Roman" w:hAnsi="Bookman Old Style" w:cs="Arial"/>
          <w:sz w:val="28"/>
          <w:szCs w:val="28"/>
        </w:rPr>
        <w:t>,</w:t>
      </w:r>
      <w:r w:rsidR="0047719B">
        <w:rPr>
          <w:rFonts w:ascii="Bookman Old Style" w:eastAsia="Times New Roman" w:hAnsi="Bookman Old Style" w:cs="Arial"/>
          <w:sz w:val="28"/>
          <w:szCs w:val="28"/>
        </w:rPr>
        <w:t xml:space="preserve"> con respecto a</w:t>
      </w:r>
      <w:r w:rsidR="00F54499" w:rsidRPr="00E34DAD">
        <w:rPr>
          <w:rFonts w:ascii="Bookman Old Style" w:eastAsia="Times New Roman" w:hAnsi="Bookman Old Style" w:cs="Arial"/>
          <w:sz w:val="28"/>
          <w:szCs w:val="28"/>
        </w:rPr>
        <w:t xml:space="preserve"> la declaración de inoponibilidad de la renuncia </w:t>
      </w:r>
      <w:r w:rsidR="00B93202">
        <w:rPr>
          <w:rFonts w:ascii="Bookman Old Style" w:eastAsia="Times New Roman" w:hAnsi="Bookman Old Style" w:cs="Arial"/>
          <w:sz w:val="28"/>
          <w:szCs w:val="28"/>
        </w:rPr>
        <w:t>a</w:t>
      </w:r>
      <w:r w:rsidR="00F54499" w:rsidRPr="00E34DAD">
        <w:rPr>
          <w:rFonts w:ascii="Bookman Old Style" w:eastAsia="Times New Roman" w:hAnsi="Bookman Old Style" w:cs="Arial"/>
          <w:sz w:val="28"/>
          <w:szCs w:val="28"/>
        </w:rPr>
        <w:t xml:space="preserve"> gananciales </w:t>
      </w:r>
      <w:r w:rsidR="00547E84">
        <w:rPr>
          <w:rFonts w:ascii="Bookman Old Style" w:eastAsia="Times New Roman" w:hAnsi="Bookman Old Style" w:cs="Arial"/>
          <w:sz w:val="28"/>
          <w:szCs w:val="28"/>
        </w:rPr>
        <w:t xml:space="preserve">al cobijar </w:t>
      </w:r>
      <w:r w:rsidR="00EE7271" w:rsidRPr="00E34DAD">
        <w:rPr>
          <w:rFonts w:ascii="Bookman Old Style" w:eastAsia="Times New Roman" w:hAnsi="Bookman Old Style" w:cs="Arial"/>
          <w:sz w:val="28"/>
          <w:szCs w:val="28"/>
        </w:rPr>
        <w:t>no sólo al heredero demandante sino también a los otros herederos que ocupan la posición jurídica del renunciante del referido derecho</w:t>
      </w:r>
      <w:r w:rsidR="0047719B">
        <w:rPr>
          <w:rFonts w:ascii="Bookman Old Style" w:eastAsia="Times New Roman" w:hAnsi="Bookman Old Style" w:cs="Arial"/>
          <w:sz w:val="28"/>
          <w:szCs w:val="28"/>
        </w:rPr>
        <w:t xml:space="preserve"> (</w:t>
      </w:r>
      <w:r w:rsidR="000A2C82">
        <w:rPr>
          <w:rFonts w:ascii="Bookman Old Style" w:eastAsia="Times New Roman" w:hAnsi="Bookman Old Style" w:cs="Arial"/>
          <w:sz w:val="28"/>
          <w:szCs w:val="28"/>
        </w:rPr>
        <w:t>con quienes se integró</w:t>
      </w:r>
      <w:r w:rsidR="00EE7271" w:rsidRPr="00E34DAD">
        <w:rPr>
          <w:rFonts w:ascii="Bookman Old Style" w:eastAsia="Times New Roman" w:hAnsi="Bookman Old Style" w:cs="Arial"/>
          <w:sz w:val="28"/>
          <w:szCs w:val="28"/>
        </w:rPr>
        <w:t xml:space="preserve"> </w:t>
      </w:r>
      <w:r w:rsidR="000A2C82">
        <w:rPr>
          <w:rFonts w:ascii="Bookman Old Style" w:eastAsia="Times New Roman" w:hAnsi="Bookman Old Style" w:cs="Arial"/>
          <w:sz w:val="28"/>
          <w:szCs w:val="28"/>
        </w:rPr>
        <w:t>el contradictorio</w:t>
      </w:r>
      <w:r w:rsidR="0047719B">
        <w:rPr>
          <w:rFonts w:ascii="Bookman Old Style" w:eastAsia="Times New Roman" w:hAnsi="Bookman Old Style" w:cs="Arial"/>
          <w:sz w:val="28"/>
          <w:szCs w:val="28"/>
        </w:rPr>
        <w:t>). En este caso</w:t>
      </w:r>
      <w:r w:rsidR="006C11EF">
        <w:rPr>
          <w:rFonts w:ascii="Bookman Old Style" w:eastAsia="Times New Roman" w:hAnsi="Bookman Old Style" w:cs="Arial"/>
          <w:sz w:val="28"/>
          <w:szCs w:val="28"/>
        </w:rPr>
        <w:t xml:space="preserve">, </w:t>
      </w:r>
      <w:r w:rsidR="0047719B">
        <w:rPr>
          <w:rFonts w:ascii="Bookman Old Style" w:eastAsia="Times New Roman" w:hAnsi="Bookman Old Style" w:cs="Arial"/>
          <w:sz w:val="28"/>
          <w:szCs w:val="28"/>
        </w:rPr>
        <w:t>se descubre</w:t>
      </w:r>
      <w:r w:rsidR="00511898">
        <w:rPr>
          <w:rFonts w:ascii="Bookman Old Style" w:eastAsia="Times New Roman" w:hAnsi="Bookman Old Style" w:cs="Arial"/>
          <w:sz w:val="28"/>
          <w:szCs w:val="28"/>
        </w:rPr>
        <w:t xml:space="preserve"> un </w:t>
      </w:r>
      <w:r w:rsidR="00547E84">
        <w:rPr>
          <w:rFonts w:ascii="Bookman Old Style" w:eastAsia="Times New Roman" w:hAnsi="Bookman Old Style" w:cs="Arial"/>
          <w:sz w:val="28"/>
          <w:szCs w:val="28"/>
        </w:rPr>
        <w:t xml:space="preserve">fallo extra petita, </w:t>
      </w:r>
      <w:r w:rsidR="00CC29A1">
        <w:rPr>
          <w:rFonts w:ascii="Bookman Old Style" w:eastAsia="Times New Roman" w:hAnsi="Bookman Old Style" w:cs="Arial"/>
          <w:sz w:val="28"/>
          <w:szCs w:val="28"/>
        </w:rPr>
        <w:t>por cuanto no existe pretensión de estos en ese sentido</w:t>
      </w:r>
      <w:r w:rsidR="00B46BCD">
        <w:rPr>
          <w:rFonts w:ascii="Bookman Old Style" w:eastAsia="Times New Roman" w:hAnsi="Bookman Old Style" w:cs="Arial"/>
          <w:sz w:val="28"/>
          <w:szCs w:val="28"/>
        </w:rPr>
        <w:t>.</w:t>
      </w:r>
      <w:r w:rsidR="007106A9">
        <w:rPr>
          <w:rFonts w:ascii="Bookman Old Style" w:eastAsia="Times New Roman" w:hAnsi="Bookman Old Style" w:cs="Arial"/>
          <w:sz w:val="28"/>
          <w:szCs w:val="28"/>
        </w:rPr>
        <w:t xml:space="preserve"> </w:t>
      </w:r>
      <w:r w:rsidR="00FA0899" w:rsidRPr="00E34DAD">
        <w:rPr>
          <w:rFonts w:ascii="Bookman Old Style" w:eastAsia="Times New Roman" w:hAnsi="Bookman Old Style" w:cs="Arial"/>
          <w:sz w:val="28"/>
          <w:szCs w:val="28"/>
        </w:rPr>
        <w:t xml:space="preserve"> </w:t>
      </w:r>
      <w:r w:rsidR="00EE7271" w:rsidRPr="00E34DAD">
        <w:rPr>
          <w:rFonts w:ascii="Bookman Old Style" w:eastAsia="Times New Roman" w:hAnsi="Bookman Old Style" w:cs="Arial"/>
          <w:sz w:val="28"/>
          <w:szCs w:val="28"/>
        </w:rPr>
        <w:t xml:space="preserve"> </w:t>
      </w:r>
      <w:r w:rsidR="00877CA8" w:rsidRPr="00E34DAD">
        <w:rPr>
          <w:rFonts w:ascii="Bookman Old Style" w:eastAsia="Times New Roman" w:hAnsi="Bookman Old Style" w:cs="Arial"/>
          <w:sz w:val="28"/>
          <w:szCs w:val="28"/>
        </w:rPr>
        <w:t xml:space="preserve"> </w:t>
      </w:r>
      <w:r w:rsidR="002D30F9" w:rsidRPr="00E34DAD">
        <w:rPr>
          <w:rFonts w:ascii="Bookman Old Style" w:eastAsia="Times New Roman" w:hAnsi="Bookman Old Style" w:cs="Arial"/>
          <w:sz w:val="28"/>
          <w:szCs w:val="28"/>
        </w:rPr>
        <w:t xml:space="preserve"> </w:t>
      </w:r>
      <w:r w:rsidR="0011716F" w:rsidRPr="00E34DAD">
        <w:rPr>
          <w:rFonts w:ascii="Bookman Old Style" w:eastAsia="Times New Roman" w:hAnsi="Bookman Old Style" w:cs="Arial"/>
          <w:sz w:val="28"/>
          <w:szCs w:val="28"/>
        </w:rPr>
        <w:t xml:space="preserve">  </w:t>
      </w:r>
      <w:r w:rsidR="00BF1159" w:rsidRPr="00E34DAD">
        <w:rPr>
          <w:rFonts w:ascii="Bookman Old Style" w:eastAsia="Times New Roman" w:hAnsi="Bookman Old Style" w:cs="Arial"/>
          <w:sz w:val="28"/>
          <w:szCs w:val="28"/>
        </w:rPr>
        <w:t xml:space="preserve"> </w:t>
      </w:r>
      <w:r w:rsidR="00790624" w:rsidRPr="00E34DAD">
        <w:rPr>
          <w:rFonts w:ascii="Bookman Old Style" w:eastAsia="Times New Roman" w:hAnsi="Bookman Old Style" w:cs="Arial"/>
          <w:sz w:val="28"/>
          <w:szCs w:val="28"/>
        </w:rPr>
        <w:t xml:space="preserve"> </w:t>
      </w:r>
      <w:r w:rsidR="00C229C8" w:rsidRPr="00E34DAD">
        <w:rPr>
          <w:rFonts w:ascii="Bookman Old Style" w:eastAsia="Times New Roman" w:hAnsi="Bookman Old Style" w:cs="Arial"/>
          <w:sz w:val="28"/>
          <w:szCs w:val="28"/>
        </w:rPr>
        <w:t xml:space="preserve">  </w:t>
      </w:r>
      <w:r w:rsidR="00CA117D" w:rsidRPr="00E34DAD">
        <w:rPr>
          <w:rFonts w:ascii="Bookman Old Style" w:eastAsia="Times New Roman" w:hAnsi="Bookman Old Style" w:cs="Arial"/>
          <w:sz w:val="28"/>
          <w:szCs w:val="28"/>
        </w:rPr>
        <w:t xml:space="preserve"> </w:t>
      </w:r>
    </w:p>
    <w:p w14:paraId="79B633F9" w14:textId="77777777" w:rsidR="00CA117D" w:rsidRPr="00CA117D" w:rsidRDefault="00CA117D" w:rsidP="00FD2205">
      <w:pPr>
        <w:pStyle w:val="Textoindependiente"/>
        <w:spacing w:after="0" w:line="360" w:lineRule="auto"/>
        <w:ind w:firstLine="709"/>
        <w:jc w:val="both"/>
        <w:rPr>
          <w:rFonts w:ascii="Bookman Old Style" w:hAnsi="Bookman Old Style"/>
          <w:sz w:val="24"/>
          <w:szCs w:val="24"/>
        </w:rPr>
      </w:pPr>
    </w:p>
    <w:p w14:paraId="5DF4D855" w14:textId="77777777" w:rsidR="00907665" w:rsidRDefault="000B7DDD" w:rsidP="00FD2205">
      <w:pPr>
        <w:pStyle w:val="Textoindependiente"/>
        <w:spacing w:after="0" w:line="360" w:lineRule="auto"/>
        <w:ind w:firstLine="709"/>
        <w:jc w:val="both"/>
        <w:rPr>
          <w:rFonts w:ascii="Bookman Old Style" w:hAnsi="Bookman Old Style" w:cs="Arial"/>
          <w:sz w:val="28"/>
        </w:rPr>
      </w:pPr>
      <w:r>
        <w:rPr>
          <w:rFonts w:ascii="Bookman Old Style" w:hAnsi="Bookman Old Style"/>
          <w:sz w:val="28"/>
          <w:szCs w:val="28"/>
        </w:rPr>
        <w:t>8</w:t>
      </w:r>
      <w:r w:rsidR="00181D17">
        <w:rPr>
          <w:rFonts w:ascii="Bookman Old Style" w:hAnsi="Bookman Old Style"/>
          <w:sz w:val="28"/>
          <w:szCs w:val="28"/>
        </w:rPr>
        <w:t xml:space="preserve">. </w:t>
      </w:r>
      <w:r w:rsidR="00DE329A" w:rsidRPr="00DE329A">
        <w:rPr>
          <w:rFonts w:ascii="Bookman Old Style" w:hAnsi="Bookman Old Style" w:cs="Arial"/>
          <w:sz w:val="28"/>
        </w:rPr>
        <w:t xml:space="preserve">Ahora, </w:t>
      </w:r>
      <w:r w:rsidR="00F43F37">
        <w:rPr>
          <w:rFonts w:ascii="Bookman Old Style" w:hAnsi="Bookman Old Style" w:cs="Arial"/>
          <w:sz w:val="28"/>
        </w:rPr>
        <w:t xml:space="preserve">es </w:t>
      </w:r>
      <w:r w:rsidR="00DE329A" w:rsidRPr="00DE329A">
        <w:rPr>
          <w:rFonts w:ascii="Bookman Old Style" w:hAnsi="Bookman Old Style" w:cs="Arial"/>
          <w:sz w:val="28"/>
        </w:rPr>
        <w:t>conocida la manifiesta claridad</w:t>
      </w:r>
      <w:r w:rsidR="00DE329A">
        <w:rPr>
          <w:rFonts w:ascii="Bookman Old Style" w:hAnsi="Bookman Old Style" w:cs="Arial"/>
          <w:sz w:val="28"/>
        </w:rPr>
        <w:t xml:space="preserve"> de lo que procura el convocante a través de la acción de </w:t>
      </w:r>
      <w:r w:rsidR="00DE329A" w:rsidRPr="00611CAB">
        <w:rPr>
          <w:rFonts w:ascii="Bookman Old Style" w:hAnsi="Bookman Old Style" w:cs="Arial"/>
          <w:i/>
          <w:iCs/>
          <w:sz w:val="28"/>
        </w:rPr>
        <w:t>inoponibilidad</w:t>
      </w:r>
      <w:r w:rsidR="00DE329A">
        <w:rPr>
          <w:rFonts w:ascii="Bookman Old Style" w:hAnsi="Bookman Old Style" w:cs="Arial"/>
          <w:sz w:val="28"/>
        </w:rPr>
        <w:t xml:space="preserve"> intentada, </w:t>
      </w:r>
      <w:r w:rsidR="00611CAB">
        <w:rPr>
          <w:rFonts w:ascii="Bookman Old Style" w:hAnsi="Bookman Old Style" w:cs="Arial"/>
          <w:sz w:val="28"/>
        </w:rPr>
        <w:t>derivada</w:t>
      </w:r>
      <w:r w:rsidR="00DE329A">
        <w:rPr>
          <w:rFonts w:ascii="Bookman Old Style" w:hAnsi="Bookman Old Style" w:cs="Arial"/>
          <w:sz w:val="28"/>
        </w:rPr>
        <w:t xml:space="preserve"> de</w:t>
      </w:r>
      <w:r w:rsidR="00DE329A" w:rsidRPr="00DE329A">
        <w:rPr>
          <w:rFonts w:ascii="Bookman Old Style" w:hAnsi="Bookman Old Style" w:cs="Arial"/>
          <w:sz w:val="28"/>
        </w:rPr>
        <w:t xml:space="preserve"> sus pretensiones </w:t>
      </w:r>
      <w:r w:rsidR="00DE329A">
        <w:rPr>
          <w:rFonts w:ascii="Bookman Old Style" w:hAnsi="Bookman Old Style" w:cs="Arial"/>
          <w:sz w:val="28"/>
        </w:rPr>
        <w:t xml:space="preserve">y del </w:t>
      </w:r>
      <w:r w:rsidR="00DE329A" w:rsidRPr="00D37A6F">
        <w:rPr>
          <w:rFonts w:ascii="Bookman Old Style" w:hAnsi="Bookman Old Style" w:cs="Arial"/>
          <w:i/>
          <w:iCs/>
          <w:sz w:val="28"/>
        </w:rPr>
        <w:t>factum</w:t>
      </w:r>
      <w:r w:rsidR="00DE329A">
        <w:rPr>
          <w:rFonts w:ascii="Bookman Old Style" w:hAnsi="Bookman Old Style" w:cs="Arial"/>
          <w:sz w:val="28"/>
        </w:rPr>
        <w:t xml:space="preserve"> de la demanda</w:t>
      </w:r>
      <w:r w:rsidR="00611CAB">
        <w:rPr>
          <w:rFonts w:ascii="Bookman Old Style" w:hAnsi="Bookman Old Style" w:cs="Arial"/>
          <w:sz w:val="28"/>
        </w:rPr>
        <w:t>.</w:t>
      </w:r>
      <w:r w:rsidR="00DE329A">
        <w:rPr>
          <w:rFonts w:ascii="Bookman Old Style" w:hAnsi="Bookman Old Style" w:cs="Arial"/>
          <w:sz w:val="28"/>
        </w:rPr>
        <w:t xml:space="preserve"> </w:t>
      </w:r>
      <w:r w:rsidR="00611CAB">
        <w:rPr>
          <w:rFonts w:ascii="Bookman Old Style" w:hAnsi="Bookman Old Style" w:cs="Arial"/>
          <w:sz w:val="28"/>
        </w:rPr>
        <w:t>A</w:t>
      </w:r>
      <w:r w:rsidR="00932F99">
        <w:rPr>
          <w:rFonts w:ascii="Bookman Old Style" w:hAnsi="Bookman Old Style" w:cs="Arial"/>
          <w:sz w:val="28"/>
        </w:rPr>
        <w:t xml:space="preserve"> más </w:t>
      </w:r>
      <w:r w:rsidR="00FF704D">
        <w:rPr>
          <w:rFonts w:ascii="Bookman Old Style" w:hAnsi="Bookman Old Style" w:cs="Arial"/>
          <w:sz w:val="28"/>
        </w:rPr>
        <w:t xml:space="preserve">de </w:t>
      </w:r>
      <w:r w:rsidR="00932F99">
        <w:rPr>
          <w:rFonts w:ascii="Bookman Old Style" w:hAnsi="Bookman Old Style" w:cs="Arial"/>
          <w:sz w:val="28"/>
        </w:rPr>
        <w:t>fincarse</w:t>
      </w:r>
      <w:r w:rsidR="00FF704D">
        <w:rPr>
          <w:rFonts w:ascii="Bookman Old Style" w:hAnsi="Bookman Old Style" w:cs="Arial"/>
          <w:sz w:val="28"/>
        </w:rPr>
        <w:t xml:space="preserve"> en la sentencia del 30 de enero de 2006, dictada por esta Corporación</w:t>
      </w:r>
      <w:r w:rsidR="00907665">
        <w:rPr>
          <w:rFonts w:ascii="Bookman Old Style" w:hAnsi="Bookman Old Style" w:cs="Arial"/>
          <w:sz w:val="28"/>
        </w:rPr>
        <w:t>.</w:t>
      </w:r>
    </w:p>
    <w:p w14:paraId="151C1EE8" w14:textId="77777777" w:rsidR="00907665" w:rsidRDefault="00907665" w:rsidP="00611CAB">
      <w:pPr>
        <w:pStyle w:val="Textoindependiente"/>
        <w:spacing w:after="0" w:line="360" w:lineRule="auto"/>
        <w:jc w:val="both"/>
        <w:rPr>
          <w:rFonts w:ascii="Bookman Old Style" w:hAnsi="Bookman Old Style" w:cs="Arial"/>
          <w:sz w:val="28"/>
        </w:rPr>
      </w:pPr>
    </w:p>
    <w:p w14:paraId="72DA5E94" w14:textId="77777777" w:rsidR="00DE329A" w:rsidRDefault="003F1B19" w:rsidP="00FD2205">
      <w:pPr>
        <w:pStyle w:val="Textoindependiente"/>
        <w:spacing w:after="0" w:line="360" w:lineRule="auto"/>
        <w:ind w:firstLine="709"/>
        <w:jc w:val="both"/>
        <w:rPr>
          <w:rFonts w:ascii="Bookman Old Style" w:hAnsi="Bookman Old Style" w:cs="Arial"/>
          <w:sz w:val="28"/>
        </w:rPr>
      </w:pPr>
      <w:r>
        <w:rPr>
          <w:rFonts w:ascii="Bookman Old Style" w:hAnsi="Bookman Old Style" w:cs="Arial"/>
          <w:sz w:val="28"/>
        </w:rPr>
        <w:t>E</w:t>
      </w:r>
      <w:r w:rsidR="00B23255">
        <w:rPr>
          <w:rFonts w:ascii="Bookman Old Style" w:hAnsi="Bookman Old Style" w:cs="Arial"/>
          <w:sz w:val="28"/>
        </w:rPr>
        <w:t xml:space="preserve">n </w:t>
      </w:r>
      <w:r>
        <w:rPr>
          <w:rFonts w:ascii="Bookman Old Style" w:hAnsi="Bookman Old Style" w:cs="Arial"/>
          <w:sz w:val="28"/>
        </w:rPr>
        <w:t xml:space="preserve">efecto, </w:t>
      </w:r>
      <w:r w:rsidR="00B23255">
        <w:rPr>
          <w:rFonts w:ascii="Bookman Old Style" w:hAnsi="Bookman Old Style" w:cs="Arial"/>
          <w:sz w:val="28"/>
        </w:rPr>
        <w:t>el</w:t>
      </w:r>
      <w:r w:rsidR="009E4C71">
        <w:rPr>
          <w:rFonts w:ascii="Bookman Old Style" w:hAnsi="Bookman Old Style" w:cs="Arial"/>
          <w:sz w:val="28"/>
        </w:rPr>
        <w:t xml:space="preserve"> </w:t>
      </w:r>
      <w:r w:rsidR="00E953FB">
        <w:rPr>
          <w:rFonts w:ascii="Bookman Old Style" w:hAnsi="Bookman Old Style" w:cs="Arial"/>
          <w:sz w:val="28"/>
        </w:rPr>
        <w:t xml:space="preserve">acto jurídico </w:t>
      </w:r>
      <w:r w:rsidR="00B23255">
        <w:rPr>
          <w:rFonts w:ascii="Bookman Old Style" w:hAnsi="Bookman Old Style" w:cs="Arial"/>
          <w:sz w:val="28"/>
        </w:rPr>
        <w:t>transgresor de la normativ</w:t>
      </w:r>
      <w:r w:rsidR="00611CAB">
        <w:rPr>
          <w:rFonts w:ascii="Bookman Old Style" w:hAnsi="Bookman Old Style" w:cs="Arial"/>
          <w:sz w:val="28"/>
        </w:rPr>
        <w:t>a</w:t>
      </w:r>
      <w:r w:rsidR="00B23255">
        <w:rPr>
          <w:rFonts w:ascii="Bookman Old Style" w:hAnsi="Bookman Old Style" w:cs="Arial"/>
          <w:sz w:val="28"/>
        </w:rPr>
        <w:t xml:space="preserve"> sustancial (artículo 17</w:t>
      </w:r>
      <w:r>
        <w:rPr>
          <w:rFonts w:ascii="Bookman Old Style" w:hAnsi="Bookman Old Style" w:cs="Arial"/>
          <w:sz w:val="28"/>
        </w:rPr>
        <w:t>75</w:t>
      </w:r>
      <w:r w:rsidR="00B23255">
        <w:rPr>
          <w:rFonts w:ascii="Bookman Old Style" w:hAnsi="Bookman Old Style" w:cs="Arial"/>
          <w:sz w:val="28"/>
        </w:rPr>
        <w:t xml:space="preserve"> del Código Civil) </w:t>
      </w:r>
      <w:r w:rsidR="00BC72F4">
        <w:rPr>
          <w:rFonts w:ascii="Bookman Old Style" w:hAnsi="Bookman Old Style" w:cs="Arial"/>
          <w:sz w:val="28"/>
        </w:rPr>
        <w:t>lo es la abdicación del derecho a gananciales</w:t>
      </w:r>
      <w:r w:rsidR="003C6077">
        <w:rPr>
          <w:rFonts w:ascii="Bookman Old Style" w:hAnsi="Bookman Old Style" w:cs="Arial"/>
          <w:sz w:val="28"/>
        </w:rPr>
        <w:t>.</w:t>
      </w:r>
      <w:r w:rsidR="00BC72F4">
        <w:rPr>
          <w:rFonts w:ascii="Bookman Old Style" w:hAnsi="Bookman Old Style" w:cs="Arial"/>
          <w:sz w:val="28"/>
        </w:rPr>
        <w:t xml:space="preserve"> </w:t>
      </w:r>
      <w:r w:rsidR="003C6077">
        <w:rPr>
          <w:rFonts w:ascii="Bookman Old Style" w:hAnsi="Bookman Old Style" w:cs="Arial"/>
          <w:sz w:val="28"/>
        </w:rPr>
        <w:t>P</w:t>
      </w:r>
      <w:r w:rsidR="00ED1264">
        <w:rPr>
          <w:rFonts w:ascii="Bookman Old Style" w:hAnsi="Bookman Old Style" w:cs="Arial"/>
          <w:sz w:val="28"/>
        </w:rPr>
        <w:t xml:space="preserve">ara </w:t>
      </w:r>
      <w:r w:rsidR="00DE329A">
        <w:rPr>
          <w:rFonts w:ascii="Bookman Old Style" w:hAnsi="Bookman Old Style" w:cs="Arial"/>
          <w:sz w:val="28"/>
        </w:rPr>
        <w:t xml:space="preserve">el éxito de </w:t>
      </w:r>
      <w:r w:rsidR="00546FE9">
        <w:rPr>
          <w:rFonts w:ascii="Bookman Old Style" w:hAnsi="Bookman Old Style" w:cs="Arial"/>
          <w:sz w:val="28"/>
        </w:rPr>
        <w:t>la</w:t>
      </w:r>
      <w:r w:rsidR="00DE329A">
        <w:rPr>
          <w:rFonts w:ascii="Bookman Old Style" w:hAnsi="Bookman Old Style" w:cs="Arial"/>
          <w:sz w:val="28"/>
        </w:rPr>
        <w:t xml:space="preserve"> </w:t>
      </w:r>
      <w:r w:rsidR="00C027E4">
        <w:rPr>
          <w:rFonts w:ascii="Bookman Old Style" w:hAnsi="Bookman Old Style" w:cs="Arial"/>
          <w:sz w:val="28"/>
        </w:rPr>
        <w:t>pretensión</w:t>
      </w:r>
      <w:r w:rsidR="00546FE9">
        <w:rPr>
          <w:rFonts w:ascii="Bookman Old Style" w:hAnsi="Bookman Old Style" w:cs="Arial"/>
          <w:sz w:val="28"/>
        </w:rPr>
        <w:t xml:space="preserve"> incoada no es necesario</w:t>
      </w:r>
      <w:r w:rsidR="001244C9">
        <w:rPr>
          <w:rFonts w:ascii="Bookman Old Style" w:hAnsi="Bookman Old Style" w:cs="Arial"/>
          <w:sz w:val="28"/>
        </w:rPr>
        <w:t xml:space="preserve"> atacar el negocio</w:t>
      </w:r>
      <w:r w:rsidR="009F69E1">
        <w:rPr>
          <w:rFonts w:ascii="Bookman Old Style" w:hAnsi="Bookman Old Style" w:cs="Arial"/>
          <w:sz w:val="28"/>
        </w:rPr>
        <w:t xml:space="preserve"> consensuado</w:t>
      </w:r>
      <w:r w:rsidR="001244C9">
        <w:rPr>
          <w:rFonts w:ascii="Bookman Old Style" w:hAnsi="Bookman Old Style" w:cs="Arial"/>
          <w:sz w:val="28"/>
        </w:rPr>
        <w:t xml:space="preserve"> de la </w:t>
      </w:r>
      <w:r w:rsidR="009F69E1">
        <w:rPr>
          <w:rFonts w:ascii="Bookman Old Style" w:hAnsi="Bookman Old Style" w:cs="Arial"/>
          <w:sz w:val="28"/>
        </w:rPr>
        <w:t xml:space="preserve">disolución y liquidación de la sociedad conyugal, </w:t>
      </w:r>
      <w:r w:rsidR="003F1455">
        <w:rPr>
          <w:rFonts w:ascii="Bookman Old Style" w:hAnsi="Bookman Old Style" w:cs="Arial"/>
          <w:sz w:val="28"/>
        </w:rPr>
        <w:t xml:space="preserve">debido a </w:t>
      </w:r>
      <w:r w:rsidR="00DE329A">
        <w:rPr>
          <w:rFonts w:ascii="Bookman Old Style" w:hAnsi="Bookman Old Style" w:cs="Arial"/>
          <w:sz w:val="28"/>
        </w:rPr>
        <w:t>que la</w:t>
      </w:r>
      <w:r w:rsidR="008F276D">
        <w:rPr>
          <w:rFonts w:ascii="Bookman Old Style" w:hAnsi="Bookman Old Style" w:cs="Arial"/>
          <w:sz w:val="28"/>
        </w:rPr>
        <w:t xml:space="preserve"> declaración </w:t>
      </w:r>
      <w:r w:rsidR="003C6077">
        <w:rPr>
          <w:rFonts w:ascii="Bookman Old Style" w:hAnsi="Bookman Old Style" w:cs="Arial"/>
          <w:sz w:val="28"/>
        </w:rPr>
        <w:t xml:space="preserve">de </w:t>
      </w:r>
      <w:r w:rsidR="003C6077" w:rsidRPr="00611CAB">
        <w:rPr>
          <w:rFonts w:ascii="Bookman Old Style" w:hAnsi="Bookman Old Style" w:cs="Arial"/>
          <w:i/>
          <w:iCs/>
          <w:sz w:val="28"/>
        </w:rPr>
        <w:t>inoponibilidad</w:t>
      </w:r>
      <w:r w:rsidR="00DE329A">
        <w:rPr>
          <w:rFonts w:ascii="Bookman Old Style" w:hAnsi="Bookman Old Style" w:cs="Arial"/>
          <w:sz w:val="28"/>
        </w:rPr>
        <w:t xml:space="preserve"> de la renuncia no l</w:t>
      </w:r>
      <w:r w:rsidR="00601357">
        <w:rPr>
          <w:rFonts w:ascii="Bookman Old Style" w:hAnsi="Bookman Old Style" w:cs="Arial"/>
          <w:sz w:val="28"/>
        </w:rPr>
        <w:t>o</w:t>
      </w:r>
      <w:r w:rsidR="00DE329A">
        <w:rPr>
          <w:rFonts w:ascii="Bookman Old Style" w:hAnsi="Bookman Old Style" w:cs="Arial"/>
          <w:sz w:val="28"/>
        </w:rPr>
        <w:t xml:space="preserve"> afecta</w:t>
      </w:r>
      <w:r w:rsidR="003C6077">
        <w:rPr>
          <w:rFonts w:ascii="Bookman Old Style" w:hAnsi="Bookman Old Style" w:cs="Arial"/>
          <w:sz w:val="28"/>
        </w:rPr>
        <w:t>.</w:t>
      </w:r>
      <w:r w:rsidR="00DE329A">
        <w:rPr>
          <w:rFonts w:ascii="Bookman Old Style" w:hAnsi="Bookman Old Style" w:cs="Arial"/>
          <w:sz w:val="28"/>
        </w:rPr>
        <w:t xml:space="preserve"> </w:t>
      </w:r>
      <w:r w:rsidR="003C6077">
        <w:rPr>
          <w:rFonts w:ascii="Bookman Old Style" w:hAnsi="Bookman Old Style" w:cs="Arial"/>
          <w:sz w:val="28"/>
        </w:rPr>
        <w:t>C</w:t>
      </w:r>
      <w:r w:rsidR="008F276D">
        <w:rPr>
          <w:rFonts w:ascii="Bookman Old Style" w:hAnsi="Bookman Old Style" w:cs="Arial"/>
          <w:sz w:val="28"/>
        </w:rPr>
        <w:t>omo s</w:t>
      </w:r>
      <w:r w:rsidR="005C3F2A">
        <w:rPr>
          <w:rFonts w:ascii="Bookman Old Style" w:hAnsi="Bookman Old Style" w:cs="Arial"/>
          <w:sz w:val="28"/>
        </w:rPr>
        <w:t>í</w:t>
      </w:r>
      <w:r w:rsidR="008F276D">
        <w:rPr>
          <w:rFonts w:ascii="Bookman Old Style" w:hAnsi="Bookman Old Style" w:cs="Arial"/>
          <w:sz w:val="28"/>
        </w:rPr>
        <w:t xml:space="preserve"> acontece, aunque parcialmente, con l</w:t>
      </w:r>
      <w:r w:rsidR="00C027E4">
        <w:rPr>
          <w:rFonts w:ascii="Bookman Old Style" w:hAnsi="Bookman Old Style" w:cs="Arial"/>
          <w:sz w:val="28"/>
        </w:rPr>
        <w:t>os bienes</w:t>
      </w:r>
      <w:r w:rsidR="008F276D">
        <w:rPr>
          <w:rFonts w:ascii="Bookman Old Style" w:hAnsi="Bookman Old Style" w:cs="Arial"/>
          <w:sz w:val="28"/>
        </w:rPr>
        <w:t xml:space="preserve"> liquidados en favor de Álvaro Gómez Prada (</w:t>
      </w:r>
      <w:r w:rsidR="00611CAB">
        <w:rPr>
          <w:rFonts w:ascii="Bookman Old Style" w:hAnsi="Bookman Old Style" w:cs="Arial"/>
          <w:sz w:val="28"/>
        </w:rPr>
        <w:t>fallecido</w:t>
      </w:r>
      <w:r w:rsidR="008F276D">
        <w:rPr>
          <w:rFonts w:ascii="Bookman Old Style" w:hAnsi="Bookman Old Style" w:cs="Arial"/>
          <w:sz w:val="28"/>
        </w:rPr>
        <w:t xml:space="preserve">) </w:t>
      </w:r>
      <w:r w:rsidR="00F12F7F">
        <w:rPr>
          <w:rFonts w:ascii="Bookman Old Style" w:hAnsi="Bookman Old Style" w:cs="Arial"/>
          <w:sz w:val="28"/>
        </w:rPr>
        <w:t xml:space="preserve">que en virtud de la renuncia fueron adjudicados </w:t>
      </w:r>
      <w:r w:rsidR="008F276D">
        <w:rPr>
          <w:rFonts w:ascii="Bookman Old Style" w:hAnsi="Bookman Old Style" w:cs="Arial"/>
          <w:sz w:val="28"/>
        </w:rPr>
        <w:t>a Mary Hernández de Gómez</w:t>
      </w:r>
      <w:r w:rsidR="00E413D5">
        <w:rPr>
          <w:rFonts w:ascii="Bookman Old Style" w:hAnsi="Bookman Old Style" w:cs="Arial"/>
          <w:sz w:val="28"/>
        </w:rPr>
        <w:t>.</w:t>
      </w:r>
    </w:p>
    <w:p w14:paraId="3E6B4BBA" w14:textId="77777777" w:rsidR="00601357" w:rsidRDefault="00601357" w:rsidP="00FD2205">
      <w:pPr>
        <w:pStyle w:val="Textoindependiente"/>
        <w:spacing w:after="0" w:line="360" w:lineRule="auto"/>
        <w:ind w:firstLine="709"/>
        <w:jc w:val="both"/>
        <w:rPr>
          <w:rFonts w:ascii="Bookman Old Style" w:hAnsi="Bookman Old Style"/>
          <w:sz w:val="28"/>
          <w:szCs w:val="28"/>
        </w:rPr>
      </w:pPr>
    </w:p>
    <w:p w14:paraId="3544F111" w14:textId="77777777" w:rsidR="00601357" w:rsidRPr="00DE329A" w:rsidRDefault="00601357" w:rsidP="00FD2205">
      <w:pPr>
        <w:pStyle w:val="Textoindependiente"/>
        <w:spacing w:after="0" w:line="360" w:lineRule="auto"/>
        <w:ind w:firstLine="709"/>
        <w:jc w:val="both"/>
        <w:rPr>
          <w:rFonts w:ascii="Bookman Old Style" w:hAnsi="Bookman Old Style"/>
          <w:sz w:val="28"/>
          <w:szCs w:val="28"/>
        </w:rPr>
      </w:pPr>
      <w:r>
        <w:rPr>
          <w:rFonts w:ascii="Bookman Old Style" w:hAnsi="Bookman Old Style"/>
          <w:sz w:val="28"/>
          <w:szCs w:val="28"/>
        </w:rPr>
        <w:t xml:space="preserve">Por los fundamentos jurídicos expuestos, </w:t>
      </w:r>
      <w:r w:rsidR="006038E3">
        <w:rPr>
          <w:rFonts w:ascii="Bookman Old Style" w:hAnsi="Bookman Old Style"/>
          <w:sz w:val="28"/>
          <w:szCs w:val="28"/>
        </w:rPr>
        <w:t xml:space="preserve">el recurso de apelación se abre camino solo </w:t>
      </w:r>
      <w:r w:rsidR="00611CAB">
        <w:rPr>
          <w:rFonts w:ascii="Bookman Old Style" w:hAnsi="Bookman Old Style"/>
          <w:sz w:val="28"/>
          <w:szCs w:val="28"/>
        </w:rPr>
        <w:t xml:space="preserve">respecto de </w:t>
      </w:r>
      <w:r w:rsidR="006038E3">
        <w:rPr>
          <w:rFonts w:ascii="Bookman Old Style" w:hAnsi="Bookman Old Style"/>
          <w:sz w:val="28"/>
          <w:szCs w:val="28"/>
        </w:rPr>
        <w:t xml:space="preserve">la extralimitación del </w:t>
      </w:r>
      <w:r w:rsidR="006038E3">
        <w:rPr>
          <w:rFonts w:ascii="Bookman Old Style" w:hAnsi="Bookman Old Style"/>
          <w:i/>
          <w:sz w:val="28"/>
          <w:szCs w:val="28"/>
        </w:rPr>
        <w:t xml:space="preserve">a-quo </w:t>
      </w:r>
      <w:r w:rsidR="006038E3">
        <w:rPr>
          <w:rFonts w:ascii="Bookman Old Style" w:hAnsi="Bookman Old Style"/>
          <w:sz w:val="28"/>
          <w:szCs w:val="28"/>
        </w:rPr>
        <w:t xml:space="preserve">al extender los efectos de la </w:t>
      </w:r>
      <w:r w:rsidR="006038E3" w:rsidRPr="003C6077">
        <w:rPr>
          <w:rFonts w:ascii="Bookman Old Style" w:hAnsi="Bookman Old Style"/>
          <w:i/>
          <w:iCs/>
          <w:sz w:val="28"/>
          <w:szCs w:val="28"/>
        </w:rPr>
        <w:t>inoponibilidad</w:t>
      </w:r>
      <w:r w:rsidR="006038E3">
        <w:rPr>
          <w:rFonts w:ascii="Bookman Old Style" w:hAnsi="Bookman Old Style"/>
          <w:sz w:val="28"/>
          <w:szCs w:val="28"/>
        </w:rPr>
        <w:t xml:space="preserve"> al resto </w:t>
      </w:r>
      <w:r w:rsidR="006038E3">
        <w:rPr>
          <w:rFonts w:ascii="Bookman Old Style" w:hAnsi="Bookman Old Style"/>
          <w:sz w:val="28"/>
          <w:szCs w:val="28"/>
        </w:rPr>
        <w:lastRenderedPageBreak/>
        <w:t>de herederos distinto</w:t>
      </w:r>
      <w:r w:rsidR="00611CAB">
        <w:rPr>
          <w:rFonts w:ascii="Bookman Old Style" w:hAnsi="Bookman Old Style"/>
          <w:sz w:val="28"/>
          <w:szCs w:val="28"/>
        </w:rPr>
        <w:t>s</w:t>
      </w:r>
      <w:r w:rsidR="006038E3">
        <w:rPr>
          <w:rFonts w:ascii="Bookman Old Style" w:hAnsi="Bookman Old Style"/>
          <w:sz w:val="28"/>
          <w:szCs w:val="28"/>
        </w:rPr>
        <w:t xml:space="preserve"> del promotor</w:t>
      </w:r>
      <w:r w:rsidR="003C6077">
        <w:rPr>
          <w:rFonts w:ascii="Bookman Old Style" w:hAnsi="Bookman Old Style"/>
          <w:sz w:val="28"/>
          <w:szCs w:val="28"/>
        </w:rPr>
        <w:t>.</w:t>
      </w:r>
      <w:r w:rsidR="006038E3">
        <w:rPr>
          <w:rFonts w:ascii="Bookman Old Style" w:hAnsi="Bookman Old Style"/>
          <w:sz w:val="28"/>
          <w:szCs w:val="28"/>
        </w:rPr>
        <w:t xml:space="preserve"> </w:t>
      </w:r>
      <w:r w:rsidR="003C6077">
        <w:rPr>
          <w:rFonts w:ascii="Bookman Old Style" w:hAnsi="Bookman Old Style"/>
          <w:sz w:val="28"/>
          <w:szCs w:val="28"/>
        </w:rPr>
        <w:t>E</w:t>
      </w:r>
      <w:r w:rsidR="006038E3">
        <w:rPr>
          <w:rFonts w:ascii="Bookman Old Style" w:hAnsi="Bookman Old Style"/>
          <w:sz w:val="28"/>
          <w:szCs w:val="28"/>
        </w:rPr>
        <w:t>n lo demás no prospera.</w:t>
      </w:r>
      <w:r>
        <w:rPr>
          <w:rFonts w:ascii="Bookman Old Style" w:hAnsi="Bookman Old Style"/>
          <w:sz w:val="28"/>
          <w:szCs w:val="28"/>
        </w:rPr>
        <w:t xml:space="preserve"> </w:t>
      </w:r>
    </w:p>
    <w:p w14:paraId="30E0F27E" w14:textId="77777777" w:rsidR="00DE329A" w:rsidRPr="00DE329A" w:rsidRDefault="00DE329A" w:rsidP="00FD2205">
      <w:pPr>
        <w:pStyle w:val="Textoindependiente"/>
        <w:spacing w:after="0" w:line="360" w:lineRule="auto"/>
        <w:ind w:firstLine="709"/>
        <w:jc w:val="both"/>
        <w:rPr>
          <w:rFonts w:ascii="Bookman Old Style" w:hAnsi="Bookman Old Style" w:cs="Arial"/>
          <w:sz w:val="28"/>
          <w:szCs w:val="28"/>
        </w:rPr>
      </w:pPr>
    </w:p>
    <w:p w14:paraId="40C39308" w14:textId="77777777" w:rsidR="008108E4" w:rsidRDefault="003C6077" w:rsidP="006038E3">
      <w:pPr>
        <w:pStyle w:val="Textoindependiente"/>
        <w:spacing w:after="0" w:line="360" w:lineRule="auto"/>
        <w:ind w:firstLine="709"/>
        <w:jc w:val="both"/>
        <w:rPr>
          <w:rFonts w:ascii="Bookman Old Style" w:hAnsi="Bookman Old Style" w:cs="Arial"/>
          <w:sz w:val="28"/>
          <w:szCs w:val="28"/>
        </w:rPr>
      </w:pPr>
      <w:r>
        <w:rPr>
          <w:rFonts w:ascii="Bookman Old Style" w:hAnsi="Bookman Old Style" w:cs="Arial"/>
          <w:sz w:val="28"/>
          <w:szCs w:val="28"/>
        </w:rPr>
        <w:t>Por lo demás, r</w:t>
      </w:r>
      <w:r w:rsidR="0005553E">
        <w:rPr>
          <w:rFonts w:ascii="Bookman Old Style" w:hAnsi="Bookman Old Style" w:cs="Arial"/>
          <w:sz w:val="28"/>
          <w:szCs w:val="28"/>
        </w:rPr>
        <w:t>especto de</w:t>
      </w:r>
      <w:r w:rsidR="000644AE">
        <w:rPr>
          <w:rFonts w:ascii="Bookman Old Style" w:hAnsi="Bookman Old Style" w:cs="Arial"/>
          <w:sz w:val="28"/>
          <w:szCs w:val="28"/>
        </w:rPr>
        <w:t xml:space="preserve"> </w:t>
      </w:r>
      <w:r w:rsidR="0061132E">
        <w:rPr>
          <w:rFonts w:ascii="Bookman Old Style" w:hAnsi="Bookman Old Style" w:cs="Arial"/>
          <w:sz w:val="28"/>
          <w:szCs w:val="28"/>
        </w:rPr>
        <w:t xml:space="preserve">la </w:t>
      </w:r>
      <w:r w:rsidR="000644AE">
        <w:rPr>
          <w:rFonts w:ascii="Bookman Old Style" w:hAnsi="Bookman Old Style" w:cs="Arial"/>
          <w:sz w:val="28"/>
          <w:szCs w:val="28"/>
        </w:rPr>
        <w:t xml:space="preserve">apelante </w:t>
      </w:r>
      <w:r w:rsidR="00201A24">
        <w:rPr>
          <w:rFonts w:ascii="Bookman Old Style" w:hAnsi="Bookman Old Style" w:cs="Arial"/>
          <w:sz w:val="28"/>
          <w:szCs w:val="28"/>
        </w:rPr>
        <w:t xml:space="preserve">Diana Gómez Chacón, </w:t>
      </w:r>
      <w:r w:rsidR="000644AE">
        <w:rPr>
          <w:rFonts w:ascii="Bookman Old Style" w:hAnsi="Bookman Old Style" w:cs="Arial"/>
          <w:sz w:val="28"/>
          <w:szCs w:val="28"/>
        </w:rPr>
        <w:t>vinculada como litisconsorte en la pasiva,</w:t>
      </w:r>
      <w:r w:rsidR="00AF48B0">
        <w:rPr>
          <w:rFonts w:ascii="Bookman Old Style" w:hAnsi="Bookman Old Style" w:cs="Arial"/>
          <w:sz w:val="28"/>
          <w:szCs w:val="28"/>
        </w:rPr>
        <w:t xml:space="preserve"> al no serle extensivo</w:t>
      </w:r>
      <w:r w:rsidR="0061132E">
        <w:rPr>
          <w:rFonts w:ascii="Bookman Old Style" w:hAnsi="Bookman Old Style" w:cs="Arial"/>
          <w:sz w:val="28"/>
          <w:szCs w:val="28"/>
        </w:rPr>
        <w:t>s</w:t>
      </w:r>
      <w:r w:rsidR="00AF48B0">
        <w:rPr>
          <w:rFonts w:ascii="Bookman Old Style" w:hAnsi="Bookman Old Style" w:cs="Arial"/>
          <w:sz w:val="28"/>
          <w:szCs w:val="28"/>
        </w:rPr>
        <w:t xml:space="preserve"> los alcance</w:t>
      </w:r>
      <w:r w:rsidR="007C3D5B">
        <w:rPr>
          <w:rFonts w:ascii="Bookman Old Style" w:hAnsi="Bookman Old Style" w:cs="Arial"/>
          <w:sz w:val="28"/>
          <w:szCs w:val="28"/>
        </w:rPr>
        <w:t>s</w:t>
      </w:r>
      <w:r w:rsidR="00AF48B0">
        <w:rPr>
          <w:rFonts w:ascii="Bookman Old Style" w:hAnsi="Bookman Old Style" w:cs="Arial"/>
          <w:sz w:val="28"/>
          <w:szCs w:val="28"/>
        </w:rPr>
        <w:t xml:space="preserve"> del fallo de </w:t>
      </w:r>
      <w:r w:rsidR="00AF48B0" w:rsidRPr="003C6077">
        <w:rPr>
          <w:rFonts w:ascii="Bookman Old Style" w:hAnsi="Bookman Old Style" w:cs="Arial"/>
          <w:i/>
          <w:iCs/>
          <w:sz w:val="28"/>
          <w:szCs w:val="28"/>
        </w:rPr>
        <w:t>inoponibilidad</w:t>
      </w:r>
      <w:r w:rsidR="00AF48B0">
        <w:rPr>
          <w:rFonts w:ascii="Bookman Old Style" w:hAnsi="Bookman Old Style" w:cs="Arial"/>
          <w:sz w:val="28"/>
          <w:szCs w:val="28"/>
        </w:rPr>
        <w:t xml:space="preserve"> </w:t>
      </w:r>
      <w:r>
        <w:rPr>
          <w:rFonts w:ascii="Bookman Old Style" w:hAnsi="Bookman Old Style" w:cs="Arial"/>
          <w:sz w:val="28"/>
          <w:szCs w:val="28"/>
        </w:rPr>
        <w:t>-</w:t>
      </w:r>
      <w:r w:rsidR="00AF48B0">
        <w:rPr>
          <w:rFonts w:ascii="Bookman Old Style" w:hAnsi="Bookman Old Style" w:cs="Arial"/>
          <w:sz w:val="28"/>
          <w:szCs w:val="28"/>
        </w:rPr>
        <w:t xml:space="preserve">por encontrase en la misma situación que los otros </w:t>
      </w:r>
      <w:r w:rsidR="006D1E27">
        <w:rPr>
          <w:rFonts w:ascii="Bookman Old Style" w:hAnsi="Bookman Old Style" w:cs="Arial"/>
          <w:sz w:val="28"/>
          <w:szCs w:val="28"/>
        </w:rPr>
        <w:t>herederos con quienes se integró el contradictorio</w:t>
      </w:r>
      <w:r>
        <w:rPr>
          <w:rFonts w:ascii="Bookman Old Style" w:hAnsi="Bookman Old Style" w:cs="Arial"/>
          <w:sz w:val="28"/>
          <w:szCs w:val="28"/>
        </w:rPr>
        <w:t>-</w:t>
      </w:r>
      <w:r w:rsidR="001475EC">
        <w:rPr>
          <w:rFonts w:ascii="Bookman Old Style" w:hAnsi="Bookman Old Style" w:cs="Arial"/>
          <w:sz w:val="28"/>
          <w:szCs w:val="28"/>
        </w:rPr>
        <w:t xml:space="preserve">, no hay </w:t>
      </w:r>
      <w:r w:rsidR="00EC2768">
        <w:rPr>
          <w:rFonts w:ascii="Bookman Old Style" w:hAnsi="Bookman Old Style" w:cs="Arial"/>
          <w:sz w:val="28"/>
          <w:szCs w:val="28"/>
        </w:rPr>
        <w:t xml:space="preserve">lugar a hacer </w:t>
      </w:r>
      <w:r w:rsidR="001475EC">
        <w:rPr>
          <w:rFonts w:ascii="Bookman Old Style" w:hAnsi="Bookman Old Style" w:cs="Arial"/>
          <w:sz w:val="28"/>
          <w:szCs w:val="28"/>
        </w:rPr>
        <w:t xml:space="preserve">pronunciamiento </w:t>
      </w:r>
      <w:r w:rsidR="00EC2768">
        <w:rPr>
          <w:rFonts w:ascii="Bookman Old Style" w:hAnsi="Bookman Old Style" w:cs="Arial"/>
          <w:sz w:val="28"/>
          <w:szCs w:val="28"/>
        </w:rPr>
        <w:t>alguno en ese sentido</w:t>
      </w:r>
      <w:r w:rsidR="004D28C2">
        <w:rPr>
          <w:rFonts w:ascii="Bookman Old Style" w:hAnsi="Bookman Old Style" w:cs="Arial"/>
          <w:sz w:val="28"/>
          <w:szCs w:val="28"/>
        </w:rPr>
        <w:t>.</w:t>
      </w:r>
    </w:p>
    <w:p w14:paraId="29EC69C8" w14:textId="77777777" w:rsidR="0005553E" w:rsidRDefault="0005553E" w:rsidP="006038E3">
      <w:pPr>
        <w:pStyle w:val="Textoindependiente"/>
        <w:spacing w:after="0" w:line="360" w:lineRule="auto"/>
        <w:ind w:firstLine="709"/>
        <w:jc w:val="both"/>
        <w:rPr>
          <w:rFonts w:ascii="Bookman Old Style" w:hAnsi="Bookman Old Style" w:cs="Arial"/>
          <w:sz w:val="28"/>
          <w:szCs w:val="28"/>
        </w:rPr>
      </w:pPr>
    </w:p>
    <w:p w14:paraId="6DA2E942" w14:textId="77777777" w:rsidR="00B74FA4" w:rsidRPr="003F010A" w:rsidRDefault="00B74FA4" w:rsidP="00B74FA4">
      <w:pPr>
        <w:spacing w:line="360" w:lineRule="auto"/>
        <w:jc w:val="center"/>
        <w:rPr>
          <w:rFonts w:ascii="Bookman Old Style" w:eastAsia="Batang" w:hAnsi="Bookman Old Style" w:cs="Arial"/>
          <w:iCs/>
          <w:sz w:val="28"/>
          <w:szCs w:val="28"/>
          <w:lang w:val="es-CO"/>
        </w:rPr>
      </w:pPr>
      <w:r w:rsidRPr="003F010A">
        <w:rPr>
          <w:rFonts w:ascii="Bookman Old Style" w:eastAsia="Batang" w:hAnsi="Bookman Old Style" w:cs="Arial"/>
          <w:b/>
          <w:iCs/>
          <w:sz w:val="28"/>
          <w:szCs w:val="28"/>
          <w:lang w:val="es-CO"/>
        </w:rPr>
        <w:t>DECISIÓN</w:t>
      </w:r>
    </w:p>
    <w:p w14:paraId="1DDB6D62" w14:textId="77777777" w:rsidR="00B74FA4" w:rsidRPr="003F010A" w:rsidRDefault="00B74FA4" w:rsidP="00B74FA4">
      <w:pPr>
        <w:spacing w:line="360" w:lineRule="auto"/>
        <w:jc w:val="both"/>
        <w:rPr>
          <w:rFonts w:ascii="Bookman Old Style" w:eastAsia="Batang" w:hAnsi="Bookman Old Style" w:cs="Arial"/>
          <w:iCs/>
          <w:sz w:val="28"/>
          <w:szCs w:val="28"/>
          <w:lang w:val="es-CO"/>
        </w:rPr>
      </w:pPr>
    </w:p>
    <w:p w14:paraId="06000B5E" w14:textId="77777777" w:rsidR="007A4D39" w:rsidRPr="003F010A" w:rsidRDefault="00B74FA4" w:rsidP="007A4D39">
      <w:pPr>
        <w:widowControl w:val="0"/>
        <w:tabs>
          <w:tab w:val="left" w:pos="-720"/>
        </w:tabs>
        <w:suppressAutoHyphens/>
        <w:spacing w:line="360" w:lineRule="auto"/>
        <w:jc w:val="both"/>
        <w:rPr>
          <w:rFonts w:ascii="Bookman Old Style" w:eastAsia="Times New Roman" w:hAnsi="Bookman Old Style"/>
          <w:spacing w:val="-3"/>
          <w:sz w:val="28"/>
          <w:szCs w:val="28"/>
          <w:lang w:val="es-ES_tradnl"/>
        </w:rPr>
      </w:pPr>
      <w:r w:rsidRPr="003F010A">
        <w:rPr>
          <w:rFonts w:ascii="Bookman Old Style" w:eastAsia="Times New Roman" w:hAnsi="Bookman Old Style" w:cs="Arial"/>
          <w:iCs/>
          <w:spacing w:val="-3"/>
          <w:sz w:val="28"/>
          <w:szCs w:val="28"/>
          <w:lang w:val="es-ES_tradnl"/>
        </w:rPr>
        <w:tab/>
      </w:r>
      <w:r w:rsidR="007A4D39" w:rsidRPr="003F010A">
        <w:rPr>
          <w:rFonts w:ascii="Bookman Old Style" w:eastAsia="Times New Roman" w:hAnsi="Bookman Old Style"/>
          <w:spacing w:val="-3"/>
          <w:sz w:val="28"/>
          <w:szCs w:val="28"/>
          <w:lang w:val="es-ES_tradnl"/>
        </w:rPr>
        <w:t xml:space="preserve">En mérito de lo expuesto, la Corte Suprema de Justicia, en Sala de Casación Civil, administrando justicia en nombre de la República y por autoridad de la ley, </w:t>
      </w:r>
      <w:r w:rsidR="007A4D39">
        <w:rPr>
          <w:rFonts w:ascii="Bookman Old Style" w:eastAsia="Times New Roman" w:hAnsi="Bookman Old Style"/>
          <w:spacing w:val="-3"/>
          <w:sz w:val="28"/>
          <w:szCs w:val="28"/>
          <w:lang w:val="es-ES_tradnl"/>
        </w:rPr>
        <w:t>en sede de segunda instancia</w:t>
      </w:r>
    </w:p>
    <w:p w14:paraId="4AC0C28E" w14:textId="77777777" w:rsidR="005D76D3" w:rsidRDefault="005D76D3" w:rsidP="00C7635F">
      <w:pPr>
        <w:widowControl w:val="0"/>
        <w:tabs>
          <w:tab w:val="left" w:pos="-720"/>
        </w:tabs>
        <w:suppressAutoHyphens/>
        <w:spacing w:line="360" w:lineRule="auto"/>
        <w:rPr>
          <w:rFonts w:ascii="Bookman Old Style" w:eastAsia="Times New Roman" w:hAnsi="Bookman Old Style"/>
          <w:b/>
          <w:spacing w:val="-3"/>
          <w:sz w:val="28"/>
          <w:szCs w:val="28"/>
          <w:lang w:val="es-ES_tradnl"/>
        </w:rPr>
      </w:pPr>
    </w:p>
    <w:p w14:paraId="5FF49E45" w14:textId="77777777" w:rsidR="00B74FA4" w:rsidRPr="003F010A" w:rsidRDefault="00B74FA4" w:rsidP="00B74FA4">
      <w:pPr>
        <w:widowControl w:val="0"/>
        <w:tabs>
          <w:tab w:val="left" w:pos="-720"/>
        </w:tabs>
        <w:suppressAutoHyphens/>
        <w:spacing w:line="360" w:lineRule="auto"/>
        <w:jc w:val="center"/>
        <w:rPr>
          <w:rFonts w:ascii="Bookman Old Style" w:eastAsia="Times New Roman" w:hAnsi="Bookman Old Style"/>
          <w:b/>
          <w:spacing w:val="-3"/>
          <w:sz w:val="28"/>
          <w:szCs w:val="28"/>
          <w:lang w:val="es-ES_tradnl"/>
        </w:rPr>
      </w:pPr>
      <w:r w:rsidRPr="003F010A">
        <w:rPr>
          <w:rFonts w:ascii="Bookman Old Style" w:eastAsia="Times New Roman" w:hAnsi="Bookman Old Style"/>
          <w:b/>
          <w:spacing w:val="-3"/>
          <w:sz w:val="28"/>
          <w:szCs w:val="28"/>
          <w:lang w:val="es-ES_tradnl"/>
        </w:rPr>
        <w:t>RESUELVE</w:t>
      </w:r>
    </w:p>
    <w:p w14:paraId="4668B15B" w14:textId="77777777" w:rsidR="00B74FA4" w:rsidRPr="003F010A" w:rsidRDefault="00B74FA4" w:rsidP="00B74FA4">
      <w:pPr>
        <w:widowControl w:val="0"/>
        <w:tabs>
          <w:tab w:val="left" w:pos="-720"/>
        </w:tabs>
        <w:suppressAutoHyphens/>
        <w:spacing w:line="360" w:lineRule="auto"/>
        <w:jc w:val="center"/>
        <w:rPr>
          <w:rFonts w:ascii="Bookman Old Style" w:eastAsia="Times New Roman" w:hAnsi="Bookman Old Style"/>
          <w:b/>
          <w:spacing w:val="-3"/>
          <w:sz w:val="28"/>
          <w:szCs w:val="28"/>
          <w:lang w:val="es-ES_tradnl"/>
        </w:rPr>
      </w:pPr>
    </w:p>
    <w:p w14:paraId="3968C64D" w14:textId="77777777" w:rsidR="00B74FA4" w:rsidRPr="00A6331A" w:rsidRDefault="00B74FA4" w:rsidP="00B74FA4">
      <w:pPr>
        <w:widowControl w:val="0"/>
        <w:tabs>
          <w:tab w:val="left" w:pos="-720"/>
        </w:tabs>
        <w:suppressAutoHyphens/>
        <w:spacing w:line="360" w:lineRule="auto"/>
        <w:jc w:val="both"/>
        <w:rPr>
          <w:rFonts w:ascii="Bookman Old Style" w:eastAsia="Times New Roman" w:hAnsi="Bookman Old Style"/>
          <w:spacing w:val="-3"/>
          <w:sz w:val="28"/>
          <w:szCs w:val="28"/>
          <w:lang w:val="es-ES_tradnl"/>
        </w:rPr>
      </w:pPr>
      <w:r w:rsidRPr="003F010A">
        <w:rPr>
          <w:rFonts w:ascii="Bookman Old Style" w:eastAsia="Times New Roman" w:hAnsi="Bookman Old Style"/>
          <w:spacing w:val="-3"/>
          <w:sz w:val="28"/>
          <w:szCs w:val="28"/>
          <w:lang w:val="es-ES_tradnl"/>
        </w:rPr>
        <w:tab/>
      </w:r>
      <w:r w:rsidRPr="003F010A">
        <w:rPr>
          <w:rFonts w:ascii="Bookman Old Style" w:eastAsia="Times New Roman" w:hAnsi="Bookman Old Style"/>
          <w:b/>
          <w:spacing w:val="-3"/>
          <w:sz w:val="28"/>
          <w:szCs w:val="28"/>
          <w:lang w:val="es-ES_tradnl"/>
        </w:rPr>
        <w:t>PRIMERO:</w:t>
      </w:r>
      <w:r w:rsidR="00A6331A">
        <w:rPr>
          <w:rFonts w:ascii="Bookman Old Style" w:eastAsia="Times New Roman" w:hAnsi="Bookman Old Style"/>
          <w:b/>
          <w:spacing w:val="-3"/>
          <w:sz w:val="28"/>
          <w:szCs w:val="28"/>
          <w:lang w:val="es-ES_tradnl"/>
        </w:rPr>
        <w:t xml:space="preserve"> MODIFICAR </w:t>
      </w:r>
      <w:r w:rsidR="00A6331A">
        <w:rPr>
          <w:rFonts w:ascii="Bookman Old Style" w:eastAsia="Times New Roman" w:hAnsi="Bookman Old Style"/>
          <w:spacing w:val="-3"/>
          <w:sz w:val="28"/>
          <w:szCs w:val="28"/>
          <w:lang w:val="es-ES_tradnl"/>
        </w:rPr>
        <w:t>los numerales primero y segundo de la parte resolutiva de la sentencia apelada de fecha 6 de agosto de 2012</w:t>
      </w:r>
      <w:r w:rsidR="004B691A">
        <w:rPr>
          <w:rFonts w:ascii="Bookman Old Style" w:eastAsia="Times New Roman" w:hAnsi="Bookman Old Style"/>
          <w:spacing w:val="-3"/>
          <w:sz w:val="28"/>
          <w:szCs w:val="28"/>
          <w:lang w:val="es-ES_tradnl"/>
        </w:rPr>
        <w:t>. L</w:t>
      </w:r>
      <w:r w:rsidR="00A6331A">
        <w:rPr>
          <w:rFonts w:ascii="Bookman Old Style" w:eastAsia="Times New Roman" w:hAnsi="Bookman Old Style"/>
          <w:spacing w:val="-3"/>
          <w:sz w:val="28"/>
          <w:szCs w:val="28"/>
          <w:lang w:val="es-ES_tradnl"/>
        </w:rPr>
        <w:t>a inoponibilidad del acto de renuncia de gananciales</w:t>
      </w:r>
      <w:r w:rsidR="001A1B08">
        <w:rPr>
          <w:rFonts w:ascii="Bookman Old Style" w:eastAsia="Times New Roman" w:hAnsi="Bookman Old Style"/>
          <w:spacing w:val="-3"/>
          <w:sz w:val="28"/>
          <w:szCs w:val="28"/>
          <w:lang w:val="es-ES_tradnl"/>
        </w:rPr>
        <w:t>,</w:t>
      </w:r>
      <w:r w:rsidR="00A6331A">
        <w:rPr>
          <w:rFonts w:ascii="Bookman Old Style" w:eastAsia="Times New Roman" w:hAnsi="Bookman Old Style"/>
          <w:spacing w:val="-3"/>
          <w:sz w:val="28"/>
          <w:szCs w:val="28"/>
          <w:lang w:val="es-ES_tradnl"/>
        </w:rPr>
        <w:t xml:space="preserve"> realizada por Álvaro Gómez Prada y contenida en la Escritura Pública 971 del 12 de mayo de 2004, solamente es </w:t>
      </w:r>
      <w:r w:rsidR="000C0E16">
        <w:rPr>
          <w:rFonts w:ascii="Bookman Old Style" w:eastAsia="Times New Roman" w:hAnsi="Bookman Old Style"/>
          <w:spacing w:val="-3"/>
          <w:sz w:val="28"/>
          <w:szCs w:val="28"/>
          <w:lang w:val="es-ES_tradnl"/>
        </w:rPr>
        <w:t>aplica</w:t>
      </w:r>
      <w:r w:rsidR="00A6331A">
        <w:rPr>
          <w:rFonts w:ascii="Bookman Old Style" w:eastAsia="Times New Roman" w:hAnsi="Bookman Old Style"/>
          <w:spacing w:val="-3"/>
          <w:sz w:val="28"/>
          <w:szCs w:val="28"/>
          <w:lang w:val="es-ES_tradnl"/>
        </w:rPr>
        <w:t xml:space="preserve">ble al </w:t>
      </w:r>
      <w:r w:rsidR="007D4C73">
        <w:rPr>
          <w:rFonts w:ascii="Bookman Old Style" w:eastAsia="Times New Roman" w:hAnsi="Bookman Old Style"/>
          <w:spacing w:val="-3"/>
          <w:sz w:val="28"/>
          <w:szCs w:val="28"/>
          <w:lang w:val="es-ES_tradnl"/>
        </w:rPr>
        <w:t>demandante</w:t>
      </w:r>
      <w:r w:rsidR="00BE7540">
        <w:rPr>
          <w:rFonts w:ascii="Bookman Old Style" w:eastAsia="Times New Roman" w:hAnsi="Bookman Old Style"/>
          <w:spacing w:val="-3"/>
          <w:sz w:val="28"/>
          <w:szCs w:val="28"/>
          <w:lang w:val="es-ES_tradnl"/>
        </w:rPr>
        <w:t xml:space="preserve"> Luis Álvaro Gómez Meza</w:t>
      </w:r>
      <w:r w:rsidR="007D4C73">
        <w:rPr>
          <w:rFonts w:ascii="Bookman Old Style" w:eastAsia="Times New Roman" w:hAnsi="Bookman Old Style"/>
          <w:spacing w:val="-3"/>
          <w:sz w:val="28"/>
          <w:szCs w:val="28"/>
          <w:lang w:val="es-ES_tradnl"/>
        </w:rPr>
        <w:t xml:space="preserve">, heredero del renunciante </w:t>
      </w:r>
      <w:r w:rsidR="00611CAB">
        <w:rPr>
          <w:rFonts w:ascii="Bookman Old Style" w:eastAsia="Times New Roman" w:hAnsi="Bookman Old Style"/>
          <w:spacing w:val="-3"/>
          <w:sz w:val="28"/>
          <w:szCs w:val="28"/>
          <w:lang w:val="es-ES_tradnl"/>
        </w:rPr>
        <w:t>difunto</w:t>
      </w:r>
      <w:r w:rsidR="007D4C73">
        <w:rPr>
          <w:rFonts w:ascii="Bookman Old Style" w:eastAsia="Times New Roman" w:hAnsi="Bookman Old Style"/>
          <w:spacing w:val="-3"/>
          <w:sz w:val="28"/>
          <w:szCs w:val="28"/>
          <w:lang w:val="es-ES_tradnl"/>
        </w:rPr>
        <w:t xml:space="preserve"> Álvaro Gómez Prada</w:t>
      </w:r>
      <w:r w:rsidR="001A1B08">
        <w:rPr>
          <w:rFonts w:ascii="Bookman Old Style" w:eastAsia="Times New Roman" w:hAnsi="Bookman Old Style"/>
          <w:spacing w:val="-3"/>
          <w:sz w:val="28"/>
          <w:szCs w:val="28"/>
          <w:lang w:val="es-ES_tradnl"/>
        </w:rPr>
        <w:t>. Esta i</w:t>
      </w:r>
      <w:r w:rsidR="00FB33CF">
        <w:rPr>
          <w:rFonts w:ascii="Bookman Old Style" w:eastAsia="Times New Roman" w:hAnsi="Bookman Old Style"/>
          <w:spacing w:val="-3"/>
          <w:sz w:val="28"/>
          <w:szCs w:val="28"/>
          <w:lang w:val="es-ES_tradnl"/>
        </w:rPr>
        <w:t>noponibilidad</w:t>
      </w:r>
      <w:r w:rsidR="001A1B08">
        <w:rPr>
          <w:rFonts w:ascii="Bookman Old Style" w:eastAsia="Times New Roman" w:hAnsi="Bookman Old Style"/>
          <w:spacing w:val="-3"/>
          <w:sz w:val="28"/>
          <w:szCs w:val="28"/>
          <w:lang w:val="es-ES_tradnl"/>
        </w:rPr>
        <w:t>, así mismo,</w:t>
      </w:r>
      <w:r w:rsidR="00920535">
        <w:rPr>
          <w:rFonts w:ascii="Bookman Old Style" w:eastAsia="Times New Roman" w:hAnsi="Bookman Old Style"/>
          <w:spacing w:val="-3"/>
          <w:sz w:val="28"/>
          <w:szCs w:val="28"/>
          <w:lang w:val="es-ES_tradnl"/>
        </w:rPr>
        <w:t xml:space="preserve"> también</w:t>
      </w:r>
      <w:r w:rsidR="00255BF3">
        <w:rPr>
          <w:rFonts w:ascii="Bookman Old Style" w:eastAsia="Times New Roman" w:hAnsi="Bookman Old Style"/>
          <w:spacing w:val="-3"/>
          <w:sz w:val="28"/>
          <w:szCs w:val="28"/>
          <w:lang w:val="es-ES_tradnl"/>
        </w:rPr>
        <w:t xml:space="preserve"> afecta</w:t>
      </w:r>
      <w:r w:rsidR="001A1B08">
        <w:rPr>
          <w:rFonts w:ascii="Bookman Old Style" w:eastAsia="Times New Roman" w:hAnsi="Bookman Old Style"/>
          <w:spacing w:val="-3"/>
          <w:sz w:val="28"/>
          <w:szCs w:val="28"/>
          <w:lang w:val="es-ES_tradnl"/>
        </w:rPr>
        <w:t xml:space="preserve"> </w:t>
      </w:r>
      <w:r w:rsidR="00255BF3">
        <w:rPr>
          <w:rFonts w:ascii="Bookman Old Style" w:eastAsia="Times New Roman" w:hAnsi="Bookman Old Style"/>
          <w:spacing w:val="-3"/>
          <w:sz w:val="28"/>
          <w:szCs w:val="28"/>
          <w:lang w:val="es-ES_tradnl"/>
        </w:rPr>
        <w:t xml:space="preserve">la adjudicación que se hiciere a </w:t>
      </w:r>
      <w:r w:rsidR="00D43F8A">
        <w:rPr>
          <w:rFonts w:ascii="Bookman Old Style" w:eastAsia="Times New Roman" w:hAnsi="Bookman Old Style"/>
          <w:spacing w:val="-3"/>
          <w:sz w:val="28"/>
          <w:szCs w:val="28"/>
          <w:lang w:val="es-ES_tradnl"/>
        </w:rPr>
        <w:t xml:space="preserve">la demandada </w:t>
      </w:r>
      <w:r w:rsidR="00255BF3">
        <w:rPr>
          <w:rFonts w:ascii="Bookman Old Style" w:eastAsia="Times New Roman" w:hAnsi="Bookman Old Style"/>
          <w:spacing w:val="-3"/>
          <w:sz w:val="28"/>
          <w:szCs w:val="28"/>
          <w:lang w:val="es-ES_tradnl"/>
        </w:rPr>
        <w:t>Mary Hernández de Gómez</w:t>
      </w:r>
      <w:r w:rsidR="00D43F8A">
        <w:rPr>
          <w:rFonts w:ascii="Bookman Old Style" w:eastAsia="Times New Roman" w:hAnsi="Bookman Old Style"/>
          <w:spacing w:val="-3"/>
          <w:sz w:val="28"/>
          <w:szCs w:val="28"/>
          <w:lang w:val="es-ES_tradnl"/>
        </w:rPr>
        <w:t xml:space="preserve"> de los bienes comprendidos en dicha abdicación.</w:t>
      </w:r>
      <w:r w:rsidR="00A6331A">
        <w:rPr>
          <w:rFonts w:ascii="Bookman Old Style" w:eastAsia="Times New Roman" w:hAnsi="Bookman Old Style"/>
          <w:spacing w:val="-3"/>
          <w:sz w:val="28"/>
          <w:szCs w:val="28"/>
          <w:lang w:val="es-ES_tradnl"/>
        </w:rPr>
        <w:t xml:space="preserve"> </w:t>
      </w:r>
    </w:p>
    <w:p w14:paraId="038C5470" w14:textId="77777777" w:rsidR="00B74FA4" w:rsidRPr="003F010A" w:rsidRDefault="00B74FA4" w:rsidP="00B74FA4">
      <w:pPr>
        <w:widowControl w:val="0"/>
        <w:tabs>
          <w:tab w:val="left" w:pos="-720"/>
        </w:tabs>
        <w:suppressAutoHyphens/>
        <w:spacing w:line="360" w:lineRule="auto"/>
        <w:jc w:val="both"/>
        <w:rPr>
          <w:rFonts w:ascii="Bookman Old Style" w:eastAsia="Times New Roman" w:hAnsi="Bookman Old Style"/>
          <w:spacing w:val="-3"/>
          <w:sz w:val="28"/>
          <w:szCs w:val="28"/>
          <w:lang w:val="es-ES_tradnl"/>
        </w:rPr>
      </w:pPr>
    </w:p>
    <w:p w14:paraId="399005B5" w14:textId="77777777" w:rsidR="000359B2" w:rsidRDefault="00B74FA4" w:rsidP="00B74FA4">
      <w:pPr>
        <w:widowControl w:val="0"/>
        <w:tabs>
          <w:tab w:val="left" w:pos="-720"/>
        </w:tabs>
        <w:suppressAutoHyphens/>
        <w:spacing w:line="360" w:lineRule="auto"/>
        <w:jc w:val="both"/>
        <w:rPr>
          <w:rFonts w:ascii="Bookman Old Style" w:eastAsia="Times New Roman" w:hAnsi="Bookman Old Style"/>
          <w:b/>
          <w:spacing w:val="-3"/>
          <w:sz w:val="28"/>
          <w:szCs w:val="28"/>
          <w:lang w:val="es-ES_tradnl"/>
        </w:rPr>
      </w:pPr>
      <w:r w:rsidRPr="003F010A">
        <w:rPr>
          <w:rFonts w:ascii="Bookman Old Style" w:eastAsia="Times New Roman" w:hAnsi="Bookman Old Style"/>
          <w:b/>
          <w:spacing w:val="-3"/>
          <w:sz w:val="28"/>
          <w:szCs w:val="28"/>
          <w:lang w:val="es-ES_tradnl"/>
        </w:rPr>
        <w:lastRenderedPageBreak/>
        <w:tab/>
        <w:t>SEGUNDO:</w:t>
      </w:r>
      <w:r w:rsidR="00F1350A">
        <w:rPr>
          <w:rFonts w:ascii="Bookman Old Style" w:eastAsia="Times New Roman" w:hAnsi="Bookman Old Style"/>
          <w:b/>
          <w:spacing w:val="-3"/>
          <w:sz w:val="28"/>
          <w:szCs w:val="28"/>
          <w:lang w:val="es-ES_tradnl"/>
        </w:rPr>
        <w:t xml:space="preserve"> CONFIRMAR </w:t>
      </w:r>
      <w:r w:rsidR="00F1350A">
        <w:rPr>
          <w:rFonts w:ascii="Bookman Old Style" w:eastAsia="Times New Roman" w:hAnsi="Bookman Old Style"/>
          <w:spacing w:val="-3"/>
          <w:sz w:val="28"/>
          <w:szCs w:val="28"/>
          <w:lang w:val="es-ES_tradnl"/>
        </w:rPr>
        <w:t>los demás numerales de la sentencia recurrida.</w:t>
      </w:r>
      <w:r w:rsidRPr="003F010A">
        <w:rPr>
          <w:rFonts w:ascii="Bookman Old Style" w:eastAsia="Times New Roman" w:hAnsi="Bookman Old Style"/>
          <w:b/>
          <w:spacing w:val="-3"/>
          <w:sz w:val="28"/>
          <w:szCs w:val="28"/>
          <w:lang w:val="es-ES_tradnl"/>
        </w:rPr>
        <w:t xml:space="preserve"> </w:t>
      </w:r>
    </w:p>
    <w:p w14:paraId="6537D35C" w14:textId="77777777" w:rsidR="000359B2" w:rsidRDefault="000359B2" w:rsidP="00B74FA4">
      <w:pPr>
        <w:widowControl w:val="0"/>
        <w:tabs>
          <w:tab w:val="left" w:pos="-720"/>
        </w:tabs>
        <w:suppressAutoHyphens/>
        <w:spacing w:line="360" w:lineRule="auto"/>
        <w:jc w:val="both"/>
        <w:rPr>
          <w:rFonts w:ascii="Bookman Old Style" w:eastAsia="Times New Roman" w:hAnsi="Bookman Old Style"/>
          <w:spacing w:val="-3"/>
          <w:sz w:val="28"/>
          <w:szCs w:val="28"/>
          <w:lang w:val="es-ES_tradnl"/>
        </w:rPr>
      </w:pPr>
    </w:p>
    <w:p w14:paraId="29B44BC3" w14:textId="77777777" w:rsidR="00B74FA4" w:rsidRDefault="004259F4" w:rsidP="00F1350A">
      <w:pPr>
        <w:widowControl w:val="0"/>
        <w:tabs>
          <w:tab w:val="left" w:pos="-720"/>
        </w:tabs>
        <w:suppressAutoHyphens/>
        <w:spacing w:line="360" w:lineRule="auto"/>
        <w:ind w:firstLine="709"/>
        <w:jc w:val="both"/>
        <w:rPr>
          <w:rFonts w:ascii="Bookman Old Style" w:eastAsia="Times New Roman" w:hAnsi="Bookman Old Style"/>
          <w:spacing w:val="-3"/>
          <w:sz w:val="28"/>
          <w:szCs w:val="28"/>
          <w:lang w:val="es-ES_tradnl"/>
        </w:rPr>
      </w:pPr>
      <w:r w:rsidRPr="004259F4">
        <w:rPr>
          <w:rFonts w:ascii="Bookman Old Style" w:eastAsia="Times New Roman" w:hAnsi="Bookman Old Style"/>
          <w:b/>
          <w:spacing w:val="-3"/>
          <w:sz w:val="28"/>
          <w:szCs w:val="28"/>
          <w:lang w:val="es-ES_tradnl"/>
        </w:rPr>
        <w:t>TERCERO</w:t>
      </w:r>
      <w:r w:rsidR="00F1350A">
        <w:rPr>
          <w:rFonts w:ascii="Bookman Old Style" w:eastAsia="Times New Roman" w:hAnsi="Bookman Old Style"/>
          <w:spacing w:val="-3"/>
          <w:sz w:val="28"/>
          <w:szCs w:val="28"/>
          <w:lang w:val="es-ES_tradnl"/>
        </w:rPr>
        <w:t xml:space="preserve">: </w:t>
      </w:r>
      <w:r w:rsidR="008F5B98">
        <w:rPr>
          <w:rFonts w:ascii="Bookman Old Style" w:eastAsia="Times New Roman" w:hAnsi="Bookman Old Style"/>
          <w:spacing w:val="-3"/>
          <w:sz w:val="28"/>
          <w:szCs w:val="28"/>
          <w:lang w:val="es-ES_tradnl"/>
        </w:rPr>
        <w:t>Costas en un 50% a cargo de la parte demandada. Para los fines indicados en el artículo 392 del CPC, se fijan como agencias en derecho la suma de un millón quinientos mil pesos ($1.500.000.00).</w:t>
      </w:r>
    </w:p>
    <w:p w14:paraId="04CB3B6E" w14:textId="77777777" w:rsidR="00B74FA4" w:rsidRDefault="00B74FA4" w:rsidP="00B74FA4">
      <w:pPr>
        <w:widowControl w:val="0"/>
        <w:tabs>
          <w:tab w:val="left" w:pos="-720"/>
        </w:tabs>
        <w:suppressAutoHyphens/>
        <w:spacing w:line="360" w:lineRule="auto"/>
        <w:jc w:val="both"/>
        <w:rPr>
          <w:rFonts w:ascii="Bookman Old Style" w:eastAsia="Times New Roman" w:hAnsi="Bookman Old Style"/>
          <w:spacing w:val="-3"/>
          <w:sz w:val="28"/>
          <w:szCs w:val="28"/>
          <w:lang w:val="es-ES_tradnl"/>
        </w:rPr>
      </w:pPr>
    </w:p>
    <w:p w14:paraId="03B3984C" w14:textId="77777777" w:rsidR="00B74FA4" w:rsidRDefault="00B74FA4" w:rsidP="00B74FA4">
      <w:pPr>
        <w:widowControl w:val="0"/>
        <w:tabs>
          <w:tab w:val="left" w:pos="-720"/>
        </w:tabs>
        <w:suppressAutoHyphens/>
        <w:spacing w:line="360" w:lineRule="auto"/>
        <w:ind w:firstLine="709"/>
        <w:jc w:val="both"/>
        <w:rPr>
          <w:rFonts w:ascii="Bookman Old Style" w:eastAsia="Times New Roman" w:hAnsi="Bookman Old Style"/>
          <w:spacing w:val="-3"/>
          <w:sz w:val="28"/>
          <w:szCs w:val="28"/>
          <w:lang w:val="es-ES_tradnl"/>
        </w:rPr>
      </w:pPr>
      <w:r>
        <w:rPr>
          <w:rFonts w:ascii="Bookman Old Style" w:eastAsia="Times New Roman" w:hAnsi="Bookman Old Style"/>
          <w:spacing w:val="-3"/>
          <w:sz w:val="28"/>
          <w:szCs w:val="28"/>
          <w:lang w:val="es-ES_tradnl"/>
        </w:rPr>
        <w:t>En su oportunidad, d</w:t>
      </w:r>
      <w:r w:rsidRPr="00EE479C">
        <w:rPr>
          <w:rFonts w:ascii="Bookman Old Style" w:eastAsia="Times New Roman" w:hAnsi="Bookman Old Style"/>
          <w:spacing w:val="-3"/>
          <w:sz w:val="28"/>
          <w:szCs w:val="28"/>
          <w:lang w:val="es-ES_tradnl"/>
        </w:rPr>
        <w:t>evuélvase</w:t>
      </w:r>
      <w:r w:rsidRPr="003F010A">
        <w:rPr>
          <w:rFonts w:ascii="Bookman Old Style" w:eastAsia="Times New Roman" w:hAnsi="Bookman Old Style"/>
          <w:spacing w:val="-3"/>
          <w:sz w:val="28"/>
          <w:szCs w:val="28"/>
          <w:lang w:val="es-ES_tradnl"/>
        </w:rPr>
        <w:t xml:space="preserve"> el expediente al </w:t>
      </w:r>
      <w:r w:rsidR="00BE2C47">
        <w:rPr>
          <w:rFonts w:ascii="Bookman Old Style" w:eastAsia="Times New Roman" w:hAnsi="Bookman Old Style"/>
          <w:spacing w:val="-3"/>
          <w:sz w:val="28"/>
          <w:szCs w:val="28"/>
          <w:lang w:val="es-ES_tradnl"/>
        </w:rPr>
        <w:t>juzgado</w:t>
      </w:r>
      <w:r w:rsidRPr="003F010A">
        <w:rPr>
          <w:rFonts w:ascii="Bookman Old Style" w:eastAsia="Times New Roman" w:hAnsi="Bookman Old Style"/>
          <w:spacing w:val="-3"/>
          <w:sz w:val="28"/>
          <w:szCs w:val="28"/>
          <w:lang w:val="es-ES_tradnl"/>
        </w:rPr>
        <w:t xml:space="preserve"> de origen</w:t>
      </w:r>
      <w:r w:rsidR="008F5B98">
        <w:rPr>
          <w:rFonts w:ascii="Bookman Old Style" w:eastAsia="Times New Roman" w:hAnsi="Bookman Old Style"/>
          <w:spacing w:val="-3"/>
          <w:sz w:val="28"/>
          <w:szCs w:val="28"/>
          <w:lang w:val="es-ES_tradnl"/>
        </w:rPr>
        <w:t>.</w:t>
      </w:r>
      <w:r w:rsidRPr="003F010A">
        <w:rPr>
          <w:rFonts w:ascii="Bookman Old Style" w:eastAsia="Times New Roman" w:hAnsi="Bookman Old Style"/>
          <w:spacing w:val="-3"/>
          <w:sz w:val="28"/>
          <w:szCs w:val="28"/>
          <w:lang w:val="es-ES_tradnl"/>
        </w:rPr>
        <w:t xml:space="preserve"> </w:t>
      </w:r>
    </w:p>
    <w:p w14:paraId="1BE64AF7" w14:textId="77777777" w:rsidR="004F3AEB" w:rsidRDefault="004F3AEB" w:rsidP="00B74FA4">
      <w:pPr>
        <w:widowControl w:val="0"/>
        <w:tabs>
          <w:tab w:val="left" w:pos="-720"/>
        </w:tabs>
        <w:suppressAutoHyphens/>
        <w:spacing w:line="360" w:lineRule="auto"/>
        <w:ind w:firstLine="709"/>
        <w:jc w:val="both"/>
        <w:rPr>
          <w:rFonts w:ascii="Bookman Old Style" w:eastAsia="Times New Roman" w:hAnsi="Bookman Old Style"/>
          <w:spacing w:val="-3"/>
          <w:sz w:val="28"/>
          <w:szCs w:val="28"/>
          <w:lang w:val="es-ES_tradnl"/>
        </w:rPr>
      </w:pPr>
    </w:p>
    <w:p w14:paraId="6CD6B7C6" w14:textId="77777777" w:rsidR="0046387D" w:rsidRPr="00D31F30" w:rsidRDefault="0046387D" w:rsidP="00D31F30">
      <w:pPr>
        <w:widowControl w:val="0"/>
        <w:tabs>
          <w:tab w:val="left" w:pos="-720"/>
        </w:tabs>
        <w:suppressAutoHyphens/>
        <w:spacing w:before="100" w:beforeAutospacing="1" w:line="360" w:lineRule="auto"/>
        <w:jc w:val="center"/>
        <w:rPr>
          <w:rFonts w:ascii="Bookman Old Style" w:eastAsia="Times New Roman" w:hAnsi="Bookman Old Style"/>
          <w:b/>
          <w:spacing w:val="-3"/>
          <w:sz w:val="28"/>
          <w:szCs w:val="28"/>
          <w:lang w:val="es-ES_tradnl"/>
        </w:rPr>
      </w:pPr>
    </w:p>
    <w:p w14:paraId="0455232A" w14:textId="77777777" w:rsidR="0046387D" w:rsidRPr="00D31F30" w:rsidRDefault="0046387D" w:rsidP="00D31F30">
      <w:pPr>
        <w:tabs>
          <w:tab w:val="left" w:pos="1560"/>
        </w:tabs>
        <w:overflowPunct w:val="0"/>
        <w:autoSpaceDE w:val="0"/>
        <w:autoSpaceDN w:val="0"/>
        <w:adjustRightInd w:val="0"/>
        <w:spacing w:line="360" w:lineRule="auto"/>
        <w:jc w:val="center"/>
        <w:textAlignment w:val="baseline"/>
        <w:rPr>
          <w:rFonts w:ascii="Bookman Old Style" w:eastAsia="Times New Roman" w:hAnsi="Bookman Old Style" w:cs="Arial"/>
          <w:b/>
          <w:sz w:val="28"/>
          <w:szCs w:val="28"/>
          <w:lang w:val="es-ES_tradnl"/>
        </w:rPr>
      </w:pPr>
    </w:p>
    <w:p w14:paraId="5132BC07" w14:textId="77777777" w:rsidR="0046387D" w:rsidRPr="00D31F30" w:rsidRDefault="0046387D" w:rsidP="00D31F30">
      <w:pPr>
        <w:tabs>
          <w:tab w:val="left" w:pos="1560"/>
        </w:tabs>
        <w:overflowPunct w:val="0"/>
        <w:autoSpaceDE w:val="0"/>
        <w:autoSpaceDN w:val="0"/>
        <w:adjustRightInd w:val="0"/>
        <w:spacing w:line="360" w:lineRule="auto"/>
        <w:jc w:val="center"/>
        <w:textAlignment w:val="baseline"/>
        <w:rPr>
          <w:rFonts w:ascii="Bookman Old Style" w:eastAsia="Times New Roman" w:hAnsi="Bookman Old Style" w:cs="Arial"/>
          <w:b/>
          <w:sz w:val="28"/>
          <w:szCs w:val="28"/>
          <w:lang w:val="es-ES_tradnl"/>
        </w:rPr>
      </w:pPr>
    </w:p>
    <w:p w14:paraId="2264341C" w14:textId="77777777" w:rsidR="0046387D" w:rsidRPr="0046387D" w:rsidRDefault="0046387D" w:rsidP="0046387D">
      <w:pPr>
        <w:tabs>
          <w:tab w:val="left" w:pos="1560"/>
        </w:tabs>
        <w:overflowPunct w:val="0"/>
        <w:autoSpaceDE w:val="0"/>
        <w:autoSpaceDN w:val="0"/>
        <w:adjustRightInd w:val="0"/>
        <w:spacing w:line="360" w:lineRule="auto"/>
        <w:jc w:val="center"/>
        <w:textAlignment w:val="baseline"/>
        <w:rPr>
          <w:rFonts w:ascii="Bookman Old Style" w:eastAsia="Times New Roman" w:hAnsi="Bookman Old Style" w:cs="Arial"/>
          <w:b/>
          <w:sz w:val="28"/>
          <w:szCs w:val="28"/>
          <w:lang w:val="es-ES_tradnl"/>
        </w:rPr>
      </w:pPr>
      <w:r w:rsidRPr="0046387D">
        <w:rPr>
          <w:rFonts w:ascii="Bookman Old Style" w:eastAsia="Times New Roman" w:hAnsi="Bookman Old Style" w:cs="Arial"/>
          <w:b/>
          <w:sz w:val="28"/>
          <w:szCs w:val="28"/>
          <w:lang w:val="es-ES_tradnl"/>
        </w:rPr>
        <w:t>LUIS ARMANDO TOLOSA VILLABONA</w:t>
      </w:r>
    </w:p>
    <w:p w14:paraId="792FC84C" w14:textId="77777777" w:rsidR="0046387D" w:rsidRPr="0046387D" w:rsidRDefault="0046387D" w:rsidP="0046387D">
      <w:pPr>
        <w:overflowPunct w:val="0"/>
        <w:autoSpaceDE w:val="0"/>
        <w:autoSpaceDN w:val="0"/>
        <w:adjustRightInd w:val="0"/>
        <w:spacing w:line="360" w:lineRule="auto"/>
        <w:jc w:val="center"/>
        <w:textAlignment w:val="baseline"/>
        <w:rPr>
          <w:rFonts w:ascii="Bookman Old Style" w:eastAsia="Times New Roman" w:hAnsi="Bookman Old Style" w:cs="Arial"/>
          <w:bCs/>
          <w:sz w:val="28"/>
          <w:szCs w:val="28"/>
          <w:lang w:val="es-CO"/>
        </w:rPr>
      </w:pPr>
      <w:r w:rsidRPr="0046387D">
        <w:rPr>
          <w:rFonts w:ascii="Bookman Old Style" w:eastAsia="Times New Roman" w:hAnsi="Bookman Old Style" w:cs="Arial"/>
          <w:bCs/>
          <w:sz w:val="28"/>
          <w:szCs w:val="28"/>
          <w:lang w:val="es-CO"/>
        </w:rPr>
        <w:t>Presidente de Sala</w:t>
      </w:r>
    </w:p>
    <w:p w14:paraId="3923F94E" w14:textId="77777777" w:rsidR="0046387D" w:rsidRPr="0046387D" w:rsidRDefault="0046387D" w:rsidP="0046387D">
      <w:pPr>
        <w:tabs>
          <w:tab w:val="left" w:pos="1560"/>
        </w:tabs>
        <w:overflowPunct w:val="0"/>
        <w:autoSpaceDE w:val="0"/>
        <w:autoSpaceDN w:val="0"/>
        <w:adjustRightInd w:val="0"/>
        <w:spacing w:line="360" w:lineRule="auto"/>
        <w:jc w:val="center"/>
        <w:textAlignment w:val="baseline"/>
        <w:rPr>
          <w:rFonts w:ascii="Bookman Old Style" w:eastAsia="Times New Roman" w:hAnsi="Bookman Old Style" w:cs="Arial"/>
          <w:b/>
          <w:sz w:val="28"/>
          <w:szCs w:val="28"/>
          <w:lang w:val="es-ES_tradnl"/>
        </w:rPr>
      </w:pPr>
    </w:p>
    <w:p w14:paraId="341FFC2E" w14:textId="77777777" w:rsidR="0046387D" w:rsidRPr="0046387D" w:rsidRDefault="0046387D" w:rsidP="0046387D">
      <w:pPr>
        <w:tabs>
          <w:tab w:val="left" w:pos="1560"/>
        </w:tabs>
        <w:overflowPunct w:val="0"/>
        <w:autoSpaceDE w:val="0"/>
        <w:autoSpaceDN w:val="0"/>
        <w:adjustRightInd w:val="0"/>
        <w:spacing w:line="360" w:lineRule="auto"/>
        <w:jc w:val="center"/>
        <w:textAlignment w:val="baseline"/>
        <w:rPr>
          <w:rFonts w:ascii="Bookman Old Style" w:eastAsia="Times New Roman" w:hAnsi="Bookman Old Style" w:cs="Arial"/>
          <w:b/>
          <w:sz w:val="28"/>
          <w:szCs w:val="28"/>
          <w:lang w:val="es-ES_tradnl"/>
        </w:rPr>
      </w:pPr>
    </w:p>
    <w:p w14:paraId="4A1A3831" w14:textId="77777777" w:rsidR="0046387D" w:rsidRPr="0046387D" w:rsidRDefault="0046387D" w:rsidP="0046387D">
      <w:pPr>
        <w:tabs>
          <w:tab w:val="left" w:pos="1560"/>
        </w:tabs>
        <w:overflowPunct w:val="0"/>
        <w:autoSpaceDE w:val="0"/>
        <w:autoSpaceDN w:val="0"/>
        <w:adjustRightInd w:val="0"/>
        <w:spacing w:line="360" w:lineRule="auto"/>
        <w:jc w:val="center"/>
        <w:textAlignment w:val="baseline"/>
        <w:rPr>
          <w:rFonts w:ascii="Bookman Old Style" w:eastAsia="Times New Roman" w:hAnsi="Bookman Old Style" w:cs="Arial"/>
          <w:b/>
          <w:sz w:val="28"/>
          <w:szCs w:val="28"/>
          <w:lang w:val="es-ES_tradnl"/>
        </w:rPr>
      </w:pPr>
    </w:p>
    <w:p w14:paraId="6AEA9494" w14:textId="77777777" w:rsidR="0046387D" w:rsidRPr="0046387D" w:rsidRDefault="0046387D" w:rsidP="0046387D">
      <w:pPr>
        <w:tabs>
          <w:tab w:val="left" w:pos="1560"/>
        </w:tabs>
        <w:overflowPunct w:val="0"/>
        <w:autoSpaceDE w:val="0"/>
        <w:autoSpaceDN w:val="0"/>
        <w:adjustRightInd w:val="0"/>
        <w:spacing w:line="360" w:lineRule="auto"/>
        <w:jc w:val="center"/>
        <w:textAlignment w:val="baseline"/>
        <w:rPr>
          <w:rFonts w:ascii="Bookman Old Style" w:eastAsia="Times New Roman" w:hAnsi="Bookman Old Style" w:cs="Arial"/>
          <w:b/>
          <w:sz w:val="28"/>
          <w:szCs w:val="28"/>
          <w:lang w:val="es-ES_tradnl"/>
        </w:rPr>
      </w:pPr>
    </w:p>
    <w:p w14:paraId="4452D75E" w14:textId="77777777" w:rsidR="0046387D" w:rsidRPr="0046387D" w:rsidRDefault="0046387D" w:rsidP="0046387D">
      <w:pPr>
        <w:tabs>
          <w:tab w:val="left" w:pos="1560"/>
        </w:tabs>
        <w:overflowPunct w:val="0"/>
        <w:autoSpaceDE w:val="0"/>
        <w:autoSpaceDN w:val="0"/>
        <w:adjustRightInd w:val="0"/>
        <w:spacing w:line="360" w:lineRule="auto"/>
        <w:jc w:val="center"/>
        <w:textAlignment w:val="baseline"/>
        <w:rPr>
          <w:rFonts w:ascii="Bookman Old Style" w:eastAsia="Times New Roman" w:hAnsi="Bookman Old Style" w:cs="Arial"/>
          <w:b/>
          <w:sz w:val="28"/>
          <w:szCs w:val="28"/>
          <w:lang w:val="es-ES_tradnl"/>
        </w:rPr>
      </w:pPr>
    </w:p>
    <w:p w14:paraId="391D16AD" w14:textId="77777777" w:rsidR="0046387D" w:rsidRPr="0046387D" w:rsidRDefault="0046387D" w:rsidP="0046387D">
      <w:pPr>
        <w:tabs>
          <w:tab w:val="left" w:pos="1560"/>
        </w:tabs>
        <w:overflowPunct w:val="0"/>
        <w:autoSpaceDE w:val="0"/>
        <w:autoSpaceDN w:val="0"/>
        <w:adjustRightInd w:val="0"/>
        <w:spacing w:line="360" w:lineRule="auto"/>
        <w:jc w:val="center"/>
        <w:textAlignment w:val="baseline"/>
        <w:rPr>
          <w:rFonts w:ascii="Bookman Old Style" w:eastAsia="Times New Roman" w:hAnsi="Bookman Old Style" w:cs="Arial"/>
          <w:b/>
          <w:sz w:val="28"/>
          <w:szCs w:val="28"/>
          <w:lang w:val="es-ES_tradnl"/>
        </w:rPr>
      </w:pPr>
      <w:r w:rsidRPr="0046387D">
        <w:rPr>
          <w:rFonts w:ascii="Bookman Old Style" w:eastAsia="Times New Roman" w:hAnsi="Bookman Old Style" w:cs="Arial"/>
          <w:b/>
          <w:sz w:val="28"/>
          <w:szCs w:val="28"/>
          <w:lang w:val="es-ES_tradnl"/>
        </w:rPr>
        <w:t>ÁLVARO FERNANDO GARCÍA RESTREPO</w:t>
      </w:r>
    </w:p>
    <w:p w14:paraId="2BFBC969" w14:textId="77777777" w:rsidR="0046387D" w:rsidRPr="0046387D" w:rsidRDefault="0046387D" w:rsidP="0046387D">
      <w:pPr>
        <w:overflowPunct w:val="0"/>
        <w:autoSpaceDE w:val="0"/>
        <w:autoSpaceDN w:val="0"/>
        <w:adjustRightInd w:val="0"/>
        <w:spacing w:line="360" w:lineRule="auto"/>
        <w:jc w:val="center"/>
        <w:textAlignment w:val="baseline"/>
        <w:rPr>
          <w:rFonts w:ascii="Bookman Old Style" w:eastAsia="Times New Roman" w:hAnsi="Bookman Old Style" w:cs="Arial"/>
          <w:b/>
          <w:bCs/>
          <w:sz w:val="28"/>
          <w:szCs w:val="28"/>
          <w:lang w:val="es-CO"/>
        </w:rPr>
      </w:pPr>
    </w:p>
    <w:p w14:paraId="756A7D75" w14:textId="77777777" w:rsidR="0046387D" w:rsidRPr="0046387D" w:rsidRDefault="0046387D" w:rsidP="0046387D">
      <w:pPr>
        <w:overflowPunct w:val="0"/>
        <w:autoSpaceDE w:val="0"/>
        <w:autoSpaceDN w:val="0"/>
        <w:adjustRightInd w:val="0"/>
        <w:spacing w:line="360" w:lineRule="auto"/>
        <w:jc w:val="center"/>
        <w:textAlignment w:val="baseline"/>
        <w:rPr>
          <w:rFonts w:ascii="Bookman Old Style" w:eastAsia="Times New Roman" w:hAnsi="Bookman Old Style" w:cs="Arial"/>
          <w:b/>
          <w:bCs/>
          <w:sz w:val="28"/>
          <w:szCs w:val="28"/>
          <w:lang w:val="es-CO"/>
        </w:rPr>
      </w:pPr>
    </w:p>
    <w:p w14:paraId="115BFA2D" w14:textId="77777777" w:rsidR="0046387D" w:rsidRPr="0046387D" w:rsidRDefault="0046387D" w:rsidP="0046387D">
      <w:pPr>
        <w:overflowPunct w:val="0"/>
        <w:autoSpaceDE w:val="0"/>
        <w:autoSpaceDN w:val="0"/>
        <w:adjustRightInd w:val="0"/>
        <w:spacing w:line="360" w:lineRule="auto"/>
        <w:jc w:val="center"/>
        <w:textAlignment w:val="baseline"/>
        <w:rPr>
          <w:rFonts w:ascii="Bookman Old Style" w:eastAsia="Times New Roman" w:hAnsi="Bookman Old Style" w:cs="Arial"/>
          <w:b/>
          <w:bCs/>
          <w:sz w:val="28"/>
          <w:szCs w:val="28"/>
          <w:lang w:val="es-CO"/>
        </w:rPr>
      </w:pPr>
    </w:p>
    <w:p w14:paraId="10994FD1" w14:textId="77777777" w:rsidR="0046387D" w:rsidRPr="0046387D" w:rsidRDefault="0046387D" w:rsidP="0046387D">
      <w:pPr>
        <w:overflowPunct w:val="0"/>
        <w:autoSpaceDE w:val="0"/>
        <w:autoSpaceDN w:val="0"/>
        <w:adjustRightInd w:val="0"/>
        <w:spacing w:line="360" w:lineRule="auto"/>
        <w:jc w:val="center"/>
        <w:textAlignment w:val="baseline"/>
        <w:rPr>
          <w:rFonts w:ascii="Bookman Old Style" w:eastAsia="Times New Roman" w:hAnsi="Bookman Old Style" w:cs="Arial"/>
          <w:b/>
          <w:bCs/>
          <w:sz w:val="28"/>
          <w:szCs w:val="28"/>
          <w:lang w:val="es-CO"/>
        </w:rPr>
      </w:pPr>
    </w:p>
    <w:p w14:paraId="6497B2A1" w14:textId="77777777" w:rsidR="0046387D" w:rsidRDefault="0046387D" w:rsidP="0046387D">
      <w:pPr>
        <w:overflowPunct w:val="0"/>
        <w:autoSpaceDE w:val="0"/>
        <w:autoSpaceDN w:val="0"/>
        <w:adjustRightInd w:val="0"/>
        <w:spacing w:line="360" w:lineRule="auto"/>
        <w:jc w:val="center"/>
        <w:textAlignment w:val="baseline"/>
        <w:rPr>
          <w:rFonts w:ascii="Bookman Old Style" w:eastAsia="Times New Roman" w:hAnsi="Bookman Old Style" w:cs="Arial"/>
          <w:b/>
          <w:bCs/>
          <w:sz w:val="28"/>
          <w:szCs w:val="28"/>
          <w:lang w:val="es-CO"/>
        </w:rPr>
      </w:pPr>
    </w:p>
    <w:p w14:paraId="2AACC30D" w14:textId="77777777" w:rsidR="00CA6ABA" w:rsidRDefault="00CA6ABA" w:rsidP="0046387D">
      <w:pPr>
        <w:overflowPunct w:val="0"/>
        <w:autoSpaceDE w:val="0"/>
        <w:autoSpaceDN w:val="0"/>
        <w:adjustRightInd w:val="0"/>
        <w:spacing w:line="360" w:lineRule="auto"/>
        <w:jc w:val="center"/>
        <w:textAlignment w:val="baseline"/>
        <w:rPr>
          <w:rFonts w:ascii="Bookman Old Style" w:eastAsia="Times New Roman" w:hAnsi="Bookman Old Style" w:cs="Arial"/>
          <w:b/>
          <w:bCs/>
          <w:sz w:val="28"/>
          <w:szCs w:val="28"/>
          <w:lang w:val="es-CO"/>
        </w:rPr>
      </w:pPr>
    </w:p>
    <w:p w14:paraId="40C3872A" w14:textId="77777777" w:rsidR="00CA6ABA" w:rsidRDefault="00CA6ABA" w:rsidP="0046387D">
      <w:pPr>
        <w:overflowPunct w:val="0"/>
        <w:autoSpaceDE w:val="0"/>
        <w:autoSpaceDN w:val="0"/>
        <w:adjustRightInd w:val="0"/>
        <w:spacing w:line="360" w:lineRule="auto"/>
        <w:jc w:val="center"/>
        <w:textAlignment w:val="baseline"/>
        <w:rPr>
          <w:rFonts w:ascii="Bookman Old Style" w:eastAsia="Times New Roman" w:hAnsi="Bookman Old Style" w:cs="Arial"/>
          <w:b/>
          <w:bCs/>
          <w:sz w:val="28"/>
          <w:szCs w:val="28"/>
          <w:lang w:val="es-CO"/>
        </w:rPr>
      </w:pPr>
    </w:p>
    <w:p w14:paraId="28252E00" w14:textId="77777777" w:rsidR="00CA6ABA" w:rsidRPr="0046387D" w:rsidRDefault="00CA6ABA" w:rsidP="0046387D">
      <w:pPr>
        <w:overflowPunct w:val="0"/>
        <w:autoSpaceDE w:val="0"/>
        <w:autoSpaceDN w:val="0"/>
        <w:adjustRightInd w:val="0"/>
        <w:spacing w:line="360" w:lineRule="auto"/>
        <w:jc w:val="center"/>
        <w:textAlignment w:val="baseline"/>
        <w:rPr>
          <w:rFonts w:ascii="Bookman Old Style" w:eastAsia="Times New Roman" w:hAnsi="Bookman Old Style" w:cs="Arial"/>
          <w:b/>
          <w:bCs/>
          <w:sz w:val="28"/>
          <w:szCs w:val="28"/>
          <w:lang w:val="es-CO"/>
        </w:rPr>
      </w:pPr>
    </w:p>
    <w:p w14:paraId="35628460" w14:textId="77777777" w:rsidR="0046387D" w:rsidRPr="0046387D" w:rsidRDefault="0046387D" w:rsidP="0046387D">
      <w:pPr>
        <w:overflowPunct w:val="0"/>
        <w:autoSpaceDE w:val="0"/>
        <w:autoSpaceDN w:val="0"/>
        <w:adjustRightInd w:val="0"/>
        <w:spacing w:line="360" w:lineRule="auto"/>
        <w:jc w:val="center"/>
        <w:textAlignment w:val="baseline"/>
        <w:rPr>
          <w:rFonts w:ascii="Bookman Old Style" w:eastAsia="Times New Roman" w:hAnsi="Bookman Old Style" w:cs="Arial"/>
          <w:b/>
          <w:bCs/>
          <w:sz w:val="28"/>
          <w:szCs w:val="28"/>
          <w:lang w:val="es-CO"/>
        </w:rPr>
      </w:pPr>
      <w:r w:rsidRPr="0046387D">
        <w:rPr>
          <w:rFonts w:ascii="Bookman Old Style" w:eastAsia="Times New Roman" w:hAnsi="Bookman Old Style" w:cs="Arial"/>
          <w:b/>
          <w:bCs/>
          <w:sz w:val="28"/>
          <w:szCs w:val="28"/>
          <w:lang w:val="es-CO"/>
        </w:rPr>
        <w:t>AROLDO WILSON QUIROZ MONSALVO</w:t>
      </w:r>
    </w:p>
    <w:p w14:paraId="1F7D3091" w14:textId="77777777" w:rsidR="0046387D" w:rsidRPr="0046387D" w:rsidRDefault="0046387D" w:rsidP="0046387D">
      <w:pPr>
        <w:overflowPunct w:val="0"/>
        <w:autoSpaceDE w:val="0"/>
        <w:autoSpaceDN w:val="0"/>
        <w:adjustRightInd w:val="0"/>
        <w:spacing w:line="360" w:lineRule="auto"/>
        <w:jc w:val="center"/>
        <w:textAlignment w:val="baseline"/>
        <w:rPr>
          <w:rFonts w:ascii="Bookman Old Style" w:eastAsia="Times New Roman" w:hAnsi="Bookman Old Style" w:cs="Arial"/>
          <w:b/>
          <w:bCs/>
          <w:sz w:val="28"/>
          <w:szCs w:val="28"/>
          <w:lang w:val="es-CO"/>
        </w:rPr>
      </w:pPr>
    </w:p>
    <w:p w14:paraId="20BCEE6A" w14:textId="77777777" w:rsidR="0046387D" w:rsidRPr="0046387D" w:rsidRDefault="0046387D" w:rsidP="0046387D">
      <w:pPr>
        <w:overflowPunct w:val="0"/>
        <w:autoSpaceDE w:val="0"/>
        <w:autoSpaceDN w:val="0"/>
        <w:adjustRightInd w:val="0"/>
        <w:spacing w:line="360" w:lineRule="auto"/>
        <w:jc w:val="center"/>
        <w:textAlignment w:val="baseline"/>
        <w:rPr>
          <w:rFonts w:ascii="Bookman Old Style" w:eastAsia="Times New Roman" w:hAnsi="Bookman Old Style" w:cs="Arial"/>
          <w:b/>
          <w:bCs/>
          <w:sz w:val="28"/>
          <w:szCs w:val="28"/>
          <w:lang w:val="es-CO"/>
        </w:rPr>
      </w:pPr>
    </w:p>
    <w:p w14:paraId="0B1313C8" w14:textId="77777777" w:rsidR="0046387D" w:rsidRPr="0046387D" w:rsidRDefault="0046387D" w:rsidP="0046387D">
      <w:pPr>
        <w:overflowPunct w:val="0"/>
        <w:autoSpaceDE w:val="0"/>
        <w:autoSpaceDN w:val="0"/>
        <w:adjustRightInd w:val="0"/>
        <w:spacing w:line="360" w:lineRule="auto"/>
        <w:jc w:val="center"/>
        <w:textAlignment w:val="baseline"/>
        <w:rPr>
          <w:rFonts w:ascii="Bookman Old Style" w:eastAsia="Times New Roman" w:hAnsi="Bookman Old Style" w:cs="Arial"/>
          <w:b/>
          <w:bCs/>
          <w:sz w:val="28"/>
          <w:szCs w:val="28"/>
          <w:lang w:val="es-CO"/>
        </w:rPr>
      </w:pPr>
    </w:p>
    <w:p w14:paraId="75EA86C4" w14:textId="77777777" w:rsidR="0046387D" w:rsidRPr="0046387D" w:rsidRDefault="0046387D" w:rsidP="0046387D">
      <w:pPr>
        <w:overflowPunct w:val="0"/>
        <w:autoSpaceDE w:val="0"/>
        <w:autoSpaceDN w:val="0"/>
        <w:adjustRightInd w:val="0"/>
        <w:spacing w:line="360" w:lineRule="auto"/>
        <w:jc w:val="center"/>
        <w:textAlignment w:val="baseline"/>
        <w:rPr>
          <w:rFonts w:ascii="Bookman Old Style" w:eastAsia="Times New Roman" w:hAnsi="Bookman Old Style" w:cs="Arial"/>
          <w:b/>
          <w:bCs/>
          <w:sz w:val="28"/>
          <w:szCs w:val="28"/>
          <w:lang w:val="es-CO"/>
        </w:rPr>
      </w:pPr>
    </w:p>
    <w:p w14:paraId="4141065D" w14:textId="77777777" w:rsidR="0046387D" w:rsidRPr="0046387D" w:rsidRDefault="0046387D" w:rsidP="0046387D">
      <w:pPr>
        <w:overflowPunct w:val="0"/>
        <w:autoSpaceDE w:val="0"/>
        <w:autoSpaceDN w:val="0"/>
        <w:adjustRightInd w:val="0"/>
        <w:spacing w:line="360" w:lineRule="auto"/>
        <w:jc w:val="center"/>
        <w:textAlignment w:val="baseline"/>
        <w:rPr>
          <w:rFonts w:ascii="Bookman Old Style" w:eastAsia="Times New Roman" w:hAnsi="Bookman Old Style" w:cs="Arial"/>
          <w:b/>
          <w:bCs/>
          <w:sz w:val="28"/>
          <w:szCs w:val="28"/>
          <w:lang w:val="es-CO"/>
        </w:rPr>
      </w:pPr>
    </w:p>
    <w:p w14:paraId="769DECAF" w14:textId="77777777" w:rsidR="0046387D" w:rsidRPr="0046387D" w:rsidRDefault="0046387D" w:rsidP="0046387D">
      <w:pPr>
        <w:overflowPunct w:val="0"/>
        <w:autoSpaceDE w:val="0"/>
        <w:autoSpaceDN w:val="0"/>
        <w:adjustRightInd w:val="0"/>
        <w:spacing w:line="360" w:lineRule="auto"/>
        <w:jc w:val="center"/>
        <w:textAlignment w:val="baseline"/>
        <w:rPr>
          <w:rFonts w:ascii="Bookman Old Style" w:eastAsia="Times New Roman" w:hAnsi="Bookman Old Style" w:cs="Arial"/>
          <w:b/>
          <w:bCs/>
          <w:sz w:val="28"/>
          <w:szCs w:val="28"/>
          <w:lang w:val="es-CO"/>
        </w:rPr>
      </w:pPr>
    </w:p>
    <w:p w14:paraId="238DD9AE" w14:textId="77777777" w:rsidR="0046387D" w:rsidRPr="0046387D" w:rsidRDefault="0046387D" w:rsidP="0046387D">
      <w:pPr>
        <w:overflowPunct w:val="0"/>
        <w:autoSpaceDE w:val="0"/>
        <w:autoSpaceDN w:val="0"/>
        <w:adjustRightInd w:val="0"/>
        <w:spacing w:line="360" w:lineRule="auto"/>
        <w:jc w:val="center"/>
        <w:textAlignment w:val="baseline"/>
        <w:rPr>
          <w:rFonts w:ascii="Bookman Old Style" w:eastAsia="Times New Roman" w:hAnsi="Bookman Old Style" w:cs="Arial"/>
          <w:b/>
          <w:bCs/>
          <w:sz w:val="28"/>
          <w:szCs w:val="28"/>
          <w:lang w:val="es-CO"/>
        </w:rPr>
      </w:pPr>
      <w:r w:rsidRPr="0046387D">
        <w:rPr>
          <w:rFonts w:ascii="Bookman Old Style" w:eastAsia="Times New Roman" w:hAnsi="Bookman Old Style" w:cs="Arial"/>
          <w:b/>
          <w:bCs/>
          <w:sz w:val="28"/>
          <w:szCs w:val="28"/>
          <w:lang w:val="es-CO"/>
        </w:rPr>
        <w:t>LUIS ALONSO RICO PUERTA</w:t>
      </w:r>
    </w:p>
    <w:p w14:paraId="13E4B577" w14:textId="77777777" w:rsidR="0046387D" w:rsidRPr="0046387D" w:rsidRDefault="0046387D" w:rsidP="0046387D">
      <w:pPr>
        <w:overflowPunct w:val="0"/>
        <w:autoSpaceDE w:val="0"/>
        <w:autoSpaceDN w:val="0"/>
        <w:adjustRightInd w:val="0"/>
        <w:spacing w:line="360" w:lineRule="auto"/>
        <w:jc w:val="center"/>
        <w:textAlignment w:val="baseline"/>
        <w:rPr>
          <w:rFonts w:ascii="Bookman Old Style" w:eastAsia="Times New Roman" w:hAnsi="Bookman Old Style" w:cs="Arial"/>
          <w:b/>
          <w:bCs/>
          <w:sz w:val="28"/>
          <w:szCs w:val="28"/>
          <w:lang w:val="es-CO"/>
        </w:rPr>
      </w:pPr>
    </w:p>
    <w:p w14:paraId="4812541F" w14:textId="77777777" w:rsidR="0046387D" w:rsidRPr="0046387D" w:rsidRDefault="0046387D" w:rsidP="0046387D">
      <w:pPr>
        <w:overflowPunct w:val="0"/>
        <w:autoSpaceDE w:val="0"/>
        <w:autoSpaceDN w:val="0"/>
        <w:adjustRightInd w:val="0"/>
        <w:spacing w:line="360" w:lineRule="auto"/>
        <w:jc w:val="center"/>
        <w:textAlignment w:val="baseline"/>
        <w:rPr>
          <w:rFonts w:ascii="Bookman Old Style" w:eastAsia="Times New Roman" w:hAnsi="Bookman Old Style" w:cs="Arial"/>
          <w:b/>
          <w:bCs/>
          <w:sz w:val="28"/>
          <w:szCs w:val="28"/>
          <w:lang w:val="es-CO"/>
        </w:rPr>
      </w:pPr>
    </w:p>
    <w:p w14:paraId="02320474" w14:textId="77777777" w:rsidR="0046387D" w:rsidRPr="0046387D" w:rsidRDefault="0046387D" w:rsidP="0046387D">
      <w:pPr>
        <w:overflowPunct w:val="0"/>
        <w:autoSpaceDE w:val="0"/>
        <w:autoSpaceDN w:val="0"/>
        <w:adjustRightInd w:val="0"/>
        <w:spacing w:line="360" w:lineRule="auto"/>
        <w:jc w:val="center"/>
        <w:textAlignment w:val="baseline"/>
        <w:rPr>
          <w:rFonts w:ascii="Bookman Old Style" w:eastAsia="Times New Roman" w:hAnsi="Bookman Old Style" w:cs="Arial"/>
          <w:b/>
          <w:bCs/>
          <w:sz w:val="28"/>
          <w:szCs w:val="28"/>
          <w:lang w:val="es-CO"/>
        </w:rPr>
      </w:pPr>
    </w:p>
    <w:p w14:paraId="53E18BCA" w14:textId="77777777" w:rsidR="0046387D" w:rsidRPr="0046387D" w:rsidRDefault="0046387D" w:rsidP="0046387D">
      <w:pPr>
        <w:overflowPunct w:val="0"/>
        <w:autoSpaceDE w:val="0"/>
        <w:autoSpaceDN w:val="0"/>
        <w:adjustRightInd w:val="0"/>
        <w:spacing w:line="360" w:lineRule="auto"/>
        <w:jc w:val="center"/>
        <w:textAlignment w:val="baseline"/>
        <w:rPr>
          <w:rFonts w:ascii="Bookman Old Style" w:eastAsia="Times New Roman" w:hAnsi="Bookman Old Style" w:cs="Arial"/>
          <w:b/>
          <w:bCs/>
          <w:sz w:val="28"/>
          <w:szCs w:val="28"/>
          <w:lang w:val="es-CO"/>
        </w:rPr>
      </w:pPr>
    </w:p>
    <w:p w14:paraId="0EBCA053" w14:textId="77777777" w:rsidR="0046387D" w:rsidRPr="0046387D" w:rsidRDefault="0046387D" w:rsidP="0046387D">
      <w:pPr>
        <w:overflowPunct w:val="0"/>
        <w:autoSpaceDE w:val="0"/>
        <w:autoSpaceDN w:val="0"/>
        <w:adjustRightInd w:val="0"/>
        <w:spacing w:line="360" w:lineRule="auto"/>
        <w:jc w:val="center"/>
        <w:textAlignment w:val="baseline"/>
        <w:rPr>
          <w:rFonts w:ascii="Bookman Old Style" w:eastAsia="Times New Roman" w:hAnsi="Bookman Old Style" w:cs="Arial"/>
          <w:b/>
          <w:bCs/>
          <w:sz w:val="28"/>
          <w:szCs w:val="28"/>
          <w:lang w:val="es-CO"/>
        </w:rPr>
      </w:pPr>
      <w:r w:rsidRPr="0046387D">
        <w:rPr>
          <w:rFonts w:ascii="Bookman Old Style" w:eastAsia="Times New Roman" w:hAnsi="Bookman Old Style" w:cs="Arial"/>
          <w:b/>
          <w:bCs/>
          <w:sz w:val="28"/>
          <w:szCs w:val="28"/>
          <w:lang w:val="es-CO"/>
        </w:rPr>
        <w:t>OCTAVIO AUGUSTO TEJEIRO DUQUE</w:t>
      </w:r>
    </w:p>
    <w:p w14:paraId="755F55C2" w14:textId="77777777" w:rsidR="0046387D" w:rsidRPr="0046387D" w:rsidRDefault="0046387D" w:rsidP="0046387D">
      <w:pPr>
        <w:tabs>
          <w:tab w:val="left" w:pos="6150"/>
        </w:tabs>
        <w:overflowPunct w:val="0"/>
        <w:autoSpaceDE w:val="0"/>
        <w:autoSpaceDN w:val="0"/>
        <w:adjustRightInd w:val="0"/>
        <w:spacing w:line="360" w:lineRule="auto"/>
        <w:jc w:val="center"/>
        <w:textAlignment w:val="baseline"/>
        <w:rPr>
          <w:rFonts w:ascii="Bookman Old Style" w:eastAsia="Times New Roman" w:hAnsi="Bookman Old Style" w:cs="Arial"/>
          <w:b/>
          <w:bCs/>
          <w:sz w:val="28"/>
          <w:szCs w:val="28"/>
          <w:lang w:val="es-CO"/>
        </w:rPr>
      </w:pPr>
    </w:p>
    <w:p w14:paraId="6569E9DC" w14:textId="77777777" w:rsidR="0046387D" w:rsidRPr="0046387D" w:rsidRDefault="0046387D" w:rsidP="0046387D">
      <w:pPr>
        <w:overflowPunct w:val="0"/>
        <w:autoSpaceDE w:val="0"/>
        <w:autoSpaceDN w:val="0"/>
        <w:adjustRightInd w:val="0"/>
        <w:spacing w:line="360" w:lineRule="auto"/>
        <w:jc w:val="center"/>
        <w:textAlignment w:val="baseline"/>
        <w:rPr>
          <w:rFonts w:ascii="Bookman Old Style" w:eastAsia="Times New Roman" w:hAnsi="Bookman Old Style" w:cs="Arial"/>
          <w:b/>
          <w:bCs/>
          <w:sz w:val="28"/>
          <w:szCs w:val="28"/>
          <w:lang w:val="es-CO"/>
        </w:rPr>
      </w:pPr>
    </w:p>
    <w:p w14:paraId="2B3D9CD3" w14:textId="77777777" w:rsidR="0046387D" w:rsidRPr="0046387D" w:rsidRDefault="0046387D" w:rsidP="0046387D">
      <w:pPr>
        <w:overflowPunct w:val="0"/>
        <w:autoSpaceDE w:val="0"/>
        <w:autoSpaceDN w:val="0"/>
        <w:adjustRightInd w:val="0"/>
        <w:spacing w:line="360" w:lineRule="auto"/>
        <w:jc w:val="center"/>
        <w:textAlignment w:val="baseline"/>
        <w:rPr>
          <w:rFonts w:ascii="Bookman Old Style" w:eastAsia="Times New Roman" w:hAnsi="Bookman Old Style" w:cs="Arial"/>
          <w:b/>
          <w:bCs/>
          <w:sz w:val="28"/>
          <w:szCs w:val="28"/>
          <w:lang w:val="es-CO"/>
        </w:rPr>
      </w:pPr>
    </w:p>
    <w:p w14:paraId="75B626D0" w14:textId="77777777" w:rsidR="0046387D" w:rsidRPr="0046387D" w:rsidRDefault="0046387D" w:rsidP="0046387D">
      <w:pPr>
        <w:overflowPunct w:val="0"/>
        <w:autoSpaceDE w:val="0"/>
        <w:autoSpaceDN w:val="0"/>
        <w:adjustRightInd w:val="0"/>
        <w:spacing w:line="360" w:lineRule="auto"/>
        <w:jc w:val="center"/>
        <w:textAlignment w:val="baseline"/>
        <w:rPr>
          <w:rFonts w:ascii="Bookman Old Style" w:eastAsia="Times New Roman" w:hAnsi="Bookman Old Style" w:cs="Arial"/>
          <w:b/>
          <w:bCs/>
          <w:sz w:val="28"/>
          <w:szCs w:val="28"/>
          <w:lang w:val="es-CO"/>
        </w:rPr>
      </w:pPr>
    </w:p>
    <w:p w14:paraId="67FBE36F" w14:textId="77777777" w:rsidR="0046387D" w:rsidRPr="0046387D" w:rsidRDefault="0046387D" w:rsidP="0046387D">
      <w:pPr>
        <w:overflowPunct w:val="0"/>
        <w:autoSpaceDE w:val="0"/>
        <w:autoSpaceDN w:val="0"/>
        <w:adjustRightInd w:val="0"/>
        <w:spacing w:line="360" w:lineRule="auto"/>
        <w:jc w:val="center"/>
        <w:textAlignment w:val="baseline"/>
        <w:rPr>
          <w:rFonts w:ascii="Bookman Old Style" w:eastAsia="Times New Roman" w:hAnsi="Bookman Old Style" w:cs="Arial"/>
          <w:b/>
          <w:bCs/>
          <w:sz w:val="28"/>
          <w:szCs w:val="28"/>
          <w:lang w:val="es-CO"/>
        </w:rPr>
      </w:pPr>
    </w:p>
    <w:p w14:paraId="45510C7D" w14:textId="77777777" w:rsidR="0046387D" w:rsidRPr="0046387D" w:rsidRDefault="0046387D" w:rsidP="0046387D">
      <w:pPr>
        <w:overflowPunct w:val="0"/>
        <w:autoSpaceDE w:val="0"/>
        <w:autoSpaceDN w:val="0"/>
        <w:adjustRightInd w:val="0"/>
        <w:spacing w:line="360" w:lineRule="auto"/>
        <w:jc w:val="center"/>
        <w:textAlignment w:val="baseline"/>
        <w:rPr>
          <w:rFonts w:ascii="Bookman Old Style" w:eastAsia="Times New Roman" w:hAnsi="Bookman Old Style" w:cs="Arial"/>
          <w:b/>
          <w:bCs/>
          <w:sz w:val="28"/>
          <w:szCs w:val="28"/>
          <w:lang w:val="es-CO"/>
        </w:rPr>
      </w:pPr>
      <w:r w:rsidRPr="0046387D">
        <w:rPr>
          <w:rFonts w:ascii="Bookman Old Style" w:eastAsia="Times New Roman" w:hAnsi="Bookman Old Style" w:cs="Arial"/>
          <w:b/>
          <w:bCs/>
          <w:sz w:val="28"/>
          <w:szCs w:val="28"/>
          <w:lang w:val="es-CO"/>
        </w:rPr>
        <w:t>FRANCISCO TERNERA BARRIOS</w:t>
      </w:r>
    </w:p>
    <w:p w14:paraId="5158F837" w14:textId="77777777" w:rsidR="0046387D" w:rsidRPr="0046387D" w:rsidRDefault="0046387D" w:rsidP="0046387D">
      <w:pPr>
        <w:spacing w:line="360" w:lineRule="auto"/>
        <w:jc w:val="center"/>
        <w:rPr>
          <w:rFonts w:ascii="Bookman Old Style" w:eastAsia="Times New Roman" w:hAnsi="Bookman Old Style"/>
          <w:spacing w:val="-3"/>
          <w:sz w:val="28"/>
          <w:szCs w:val="28"/>
          <w:lang w:val="es-ES_tradnl"/>
        </w:rPr>
      </w:pPr>
    </w:p>
    <w:p w14:paraId="5D3749E5" w14:textId="77777777" w:rsidR="00800FBD" w:rsidRDefault="00800FBD" w:rsidP="0046387D">
      <w:pPr>
        <w:spacing w:line="360" w:lineRule="auto"/>
        <w:jc w:val="center"/>
      </w:pPr>
    </w:p>
    <w:sectPr w:rsidR="00800FBD" w:rsidSect="00CA6ABA">
      <w:headerReference w:type="default" r:id="rId8"/>
      <w:footerReference w:type="even" r:id="rId9"/>
      <w:footerReference w:type="default" r:id="rId10"/>
      <w:headerReference w:type="first" r:id="rId11"/>
      <w:pgSz w:w="12242" w:h="18722" w:code="14"/>
      <w:pgMar w:top="2268" w:right="1701" w:bottom="1701"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D943" w14:textId="77777777" w:rsidR="000676D5" w:rsidRDefault="000676D5" w:rsidP="00B74FA4">
      <w:r>
        <w:separator/>
      </w:r>
    </w:p>
  </w:endnote>
  <w:endnote w:type="continuationSeparator" w:id="0">
    <w:p w14:paraId="322B9643" w14:textId="77777777" w:rsidR="000676D5" w:rsidRDefault="000676D5" w:rsidP="00B74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947B" w14:textId="77777777" w:rsidR="003060B9" w:rsidRDefault="003060B9" w:rsidP="00F32D3A">
    <w:pPr>
      <w:pStyle w:val="Piedepgina"/>
      <w:framePr w:wrap="around" w:vAnchor="text" w:hAnchor="margin" w:xAlign="right" w:y="1"/>
      <w:rPr>
        <w:rStyle w:val="Nmerodepgina"/>
        <w:rFonts w:eastAsia="Calibri"/>
      </w:rPr>
    </w:pPr>
    <w:r>
      <w:rPr>
        <w:rStyle w:val="Nmerodepgina"/>
        <w:rFonts w:eastAsia="Calibri"/>
      </w:rPr>
      <w:fldChar w:fldCharType="begin"/>
    </w:r>
    <w:r>
      <w:rPr>
        <w:rStyle w:val="Nmerodepgina"/>
        <w:rFonts w:eastAsia="Calibri"/>
      </w:rPr>
      <w:instrText xml:space="preserve">PAGE  </w:instrText>
    </w:r>
    <w:r>
      <w:rPr>
        <w:rStyle w:val="Nmerodepgina"/>
        <w:rFonts w:eastAsia="Calibri"/>
      </w:rPr>
      <w:fldChar w:fldCharType="end"/>
    </w:r>
  </w:p>
  <w:p w14:paraId="557F0E18" w14:textId="77777777" w:rsidR="003060B9" w:rsidRDefault="003060B9" w:rsidP="00F32D3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FFCA" w14:textId="77777777" w:rsidR="003060B9" w:rsidRDefault="003060B9">
    <w:pPr>
      <w:pStyle w:val="Piedepgina"/>
      <w:jc w:val="right"/>
    </w:pPr>
    <w:r>
      <w:fldChar w:fldCharType="begin"/>
    </w:r>
    <w:r>
      <w:instrText>PAGE   \* MERGEFORMAT</w:instrText>
    </w:r>
    <w:r>
      <w:fldChar w:fldCharType="separate"/>
    </w:r>
    <w:r w:rsidR="004F32F4" w:rsidRPr="004F32F4">
      <w:rPr>
        <w:noProof/>
        <w:lang w:val="es-ES"/>
      </w:rPr>
      <w:t>31</w:t>
    </w:r>
    <w:r>
      <w:fldChar w:fldCharType="end"/>
    </w:r>
  </w:p>
  <w:p w14:paraId="2325BE7A" w14:textId="77777777" w:rsidR="003060B9" w:rsidRDefault="003060B9" w:rsidP="00F32D3A">
    <w:pPr>
      <w:pStyle w:val="Piedepgina"/>
      <w:ind w:right="360"/>
      <w:rPr>
        <w:sz w:val="20"/>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86734" w14:textId="77777777" w:rsidR="000676D5" w:rsidRDefault="000676D5" w:rsidP="00B74FA4">
      <w:r>
        <w:separator/>
      </w:r>
    </w:p>
  </w:footnote>
  <w:footnote w:type="continuationSeparator" w:id="0">
    <w:p w14:paraId="77ED2207" w14:textId="77777777" w:rsidR="000676D5" w:rsidRDefault="000676D5" w:rsidP="00B74FA4">
      <w:r>
        <w:continuationSeparator/>
      </w:r>
    </w:p>
  </w:footnote>
  <w:footnote w:id="1">
    <w:p w14:paraId="152D185F" w14:textId="77777777" w:rsidR="003060B9" w:rsidRPr="00E237A5" w:rsidRDefault="003060B9" w:rsidP="00E237A5">
      <w:pPr>
        <w:pStyle w:val="Textonotapie"/>
        <w:jc w:val="both"/>
        <w:rPr>
          <w:rFonts w:ascii="Bookman Old Style" w:hAnsi="Bookman Old Style"/>
          <w:sz w:val="16"/>
        </w:rPr>
      </w:pPr>
      <w:r w:rsidRPr="00A32793">
        <w:rPr>
          <w:rStyle w:val="Refdenotaalpie"/>
          <w:rFonts w:ascii="Arial" w:hAnsi="Arial" w:cs="Arial"/>
        </w:rPr>
        <w:footnoteRef/>
      </w:r>
      <w:r w:rsidRPr="00A32793">
        <w:rPr>
          <w:rFonts w:ascii="Arial" w:hAnsi="Arial" w:cs="Arial"/>
        </w:rPr>
        <w:t xml:space="preserve"> Abeliuk Manasevich, René, Las obligaciones, Ediar Editores Limitada, Santiago de Chile, 1983, pag.134. Ospina Fernández, Guillermo, Teoría General del Contrato y del Negocio Jurídico, 5ª Edición, Editorial Temis S. A., Bogotá, 1998, pags.399 a 403. Alessandri Rodríguez, Arturo, Derecho Civil, Contratos, Tomo I, Imprenta Universal, Santiago de Chile, 1988, pag.286</w:t>
      </w:r>
      <w:r w:rsidRPr="00E237A5">
        <w:rPr>
          <w:rFonts w:ascii="Bookman Old Style" w:hAnsi="Bookman Old Style"/>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BD8C" w14:textId="77777777" w:rsidR="003060B9" w:rsidRPr="00FD2B73" w:rsidRDefault="00AC36D2" w:rsidP="00F32D3A">
    <w:pPr>
      <w:pStyle w:val="Ttulo3"/>
      <w:spacing w:line="240" w:lineRule="auto"/>
      <w:ind w:left="0" w:firstLine="709"/>
      <w:jc w:val="right"/>
      <w:rPr>
        <w:rFonts w:ascii="Bookman Old Style" w:hAnsi="Bookman Old Style" w:cs="Arial"/>
        <w:sz w:val="20"/>
        <w:lang w:val="es-CO"/>
      </w:rPr>
    </w:pPr>
    <w:r w:rsidRPr="00FD2B73">
      <w:rPr>
        <w:rFonts w:ascii="Bookman Old Style" w:hAnsi="Bookman Old Style" w:cs="Arial"/>
        <w:sz w:val="20"/>
        <w:lang w:val="es-CO"/>
      </w:rPr>
      <w:t>Rad</w:t>
    </w:r>
    <w:r>
      <w:rPr>
        <w:rFonts w:ascii="Bookman Old Style" w:hAnsi="Bookman Old Style" w:cs="Arial"/>
        <w:sz w:val="20"/>
        <w:lang w:val="es-CO"/>
      </w:rPr>
      <w:t>icación nº</w:t>
    </w:r>
    <w:r w:rsidR="003060B9" w:rsidRPr="00FD2B73">
      <w:rPr>
        <w:rFonts w:ascii="Bookman Old Style" w:hAnsi="Bookman Old Style" w:cs="Arial"/>
        <w:sz w:val="20"/>
        <w:lang w:val="es-CO"/>
      </w:rPr>
      <w:t xml:space="preserve"> 68001</w:t>
    </w:r>
    <w:r w:rsidR="00494B3B">
      <w:rPr>
        <w:rFonts w:ascii="Bookman Old Style" w:hAnsi="Bookman Old Style" w:cs="Arial"/>
        <w:sz w:val="20"/>
      </w:rPr>
      <w:t>-</w:t>
    </w:r>
    <w:r w:rsidR="003060B9" w:rsidRPr="00FD2B73">
      <w:rPr>
        <w:rFonts w:ascii="Bookman Old Style" w:hAnsi="Bookman Old Style" w:cs="Arial"/>
        <w:sz w:val="20"/>
      </w:rPr>
      <w:t>31</w:t>
    </w:r>
    <w:r w:rsidR="00494B3B">
      <w:rPr>
        <w:rFonts w:ascii="Bookman Old Style" w:hAnsi="Bookman Old Style" w:cs="Arial"/>
        <w:sz w:val="20"/>
      </w:rPr>
      <w:t>-</w:t>
    </w:r>
    <w:r w:rsidR="003060B9" w:rsidRPr="00FD2B73">
      <w:rPr>
        <w:rFonts w:ascii="Bookman Old Style" w:hAnsi="Bookman Old Style" w:cs="Arial"/>
        <w:sz w:val="20"/>
      </w:rPr>
      <w:t>10</w:t>
    </w:r>
    <w:r w:rsidR="00494B3B">
      <w:rPr>
        <w:rFonts w:ascii="Bookman Old Style" w:hAnsi="Bookman Old Style" w:cs="Arial"/>
        <w:sz w:val="20"/>
      </w:rPr>
      <w:t>-</w:t>
    </w:r>
    <w:r w:rsidR="003060B9" w:rsidRPr="00FD2B73">
      <w:rPr>
        <w:rFonts w:ascii="Bookman Old Style" w:hAnsi="Bookman Old Style" w:cs="Arial"/>
        <w:sz w:val="20"/>
      </w:rPr>
      <w:t>001</w:t>
    </w:r>
    <w:r w:rsidR="00494B3B">
      <w:rPr>
        <w:rFonts w:ascii="Bookman Old Style" w:hAnsi="Bookman Old Style" w:cs="Arial"/>
        <w:sz w:val="20"/>
      </w:rPr>
      <w:t>-</w:t>
    </w:r>
    <w:r w:rsidR="003060B9" w:rsidRPr="00FD2B73">
      <w:rPr>
        <w:rFonts w:ascii="Bookman Old Style" w:hAnsi="Bookman Old Style" w:cs="Arial"/>
        <w:sz w:val="20"/>
      </w:rPr>
      <w:t>2006</w:t>
    </w:r>
    <w:r w:rsidR="00494B3B">
      <w:rPr>
        <w:rFonts w:ascii="Bookman Old Style" w:hAnsi="Bookman Old Style" w:cs="Arial"/>
        <w:sz w:val="20"/>
      </w:rPr>
      <w:t>-</w:t>
    </w:r>
    <w:r w:rsidR="003060B9" w:rsidRPr="00FD2B73">
      <w:rPr>
        <w:rFonts w:ascii="Bookman Old Style" w:hAnsi="Bookman Old Style" w:cs="Arial"/>
        <w:sz w:val="20"/>
      </w:rPr>
      <w:t>00322</w:t>
    </w:r>
    <w:r w:rsidR="00494B3B">
      <w:rPr>
        <w:rFonts w:ascii="Bookman Old Style" w:hAnsi="Bookman Old Style" w:cs="Arial"/>
        <w:sz w:val="20"/>
      </w:rPr>
      <w:t>-</w:t>
    </w:r>
    <w:r w:rsidR="003060B9" w:rsidRPr="00FD2B73">
      <w:rPr>
        <w:rFonts w:ascii="Bookman Old Style" w:hAnsi="Bookman Old Style" w:cs="Arial"/>
        <w:sz w:val="20"/>
      </w:rPr>
      <w:t>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7218" w14:textId="22A64118" w:rsidR="003060B9" w:rsidRPr="00663CD2" w:rsidRDefault="0002135D" w:rsidP="00F32D3A">
    <w:pPr>
      <w:keepNext/>
      <w:tabs>
        <w:tab w:val="left" w:pos="3544"/>
      </w:tabs>
      <w:spacing w:before="240" w:after="60"/>
      <w:ind w:right="51"/>
      <w:jc w:val="center"/>
      <w:outlineLvl w:val="1"/>
      <w:rPr>
        <w:rFonts w:ascii="Edwardian Script ITC" w:hAnsi="Edwardian Script ITC"/>
        <w:bCs/>
        <w:i/>
        <w:iCs/>
        <w:sz w:val="28"/>
        <w:szCs w:val="28"/>
      </w:rPr>
    </w:pPr>
    <w:r w:rsidRPr="00793212">
      <w:rPr>
        <w:rFonts w:ascii="Edwardian Script ITC" w:hAnsi="Edwardian Script ITC"/>
        <w:noProof/>
        <w:szCs w:val="28"/>
        <w:lang w:val="en-US" w:eastAsia="en-US"/>
      </w:rPr>
      <w:drawing>
        <wp:inline distT="0" distB="0" distL="0" distR="0" wp14:anchorId="328440FF" wp14:editId="5B81EE77">
          <wp:extent cx="1344930" cy="1712595"/>
          <wp:effectExtent l="0" t="0" r="0" b="0"/>
          <wp:docPr id="1" name="Imagen 2" descr="CivilB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vilByn"/>
                  <pic:cNvPicPr>
                    <a:picLocks noChangeAspect="1" noChangeArrowheads="1"/>
                  </pic:cNvPicPr>
                </pic:nvPicPr>
                <pic:blipFill>
                  <a:blip r:embed="rId1">
                    <a:extLst>
                      <a:ext uri="{28A0092B-C50C-407E-A947-70E740481C1C}">
                        <a14:useLocalDpi xmlns:a14="http://schemas.microsoft.com/office/drawing/2010/main" val="0"/>
                      </a:ext>
                    </a:extLst>
                  </a:blip>
                  <a:srcRect l="17081" t="4179" r="16171" b="11084"/>
                  <a:stretch>
                    <a:fillRect/>
                  </a:stretch>
                </pic:blipFill>
                <pic:spPr bwMode="auto">
                  <a:xfrm>
                    <a:off x="0" y="0"/>
                    <a:ext cx="1344930" cy="1712595"/>
                  </a:xfrm>
                  <a:prstGeom prst="rect">
                    <a:avLst/>
                  </a:prstGeom>
                  <a:noFill/>
                  <a:ln>
                    <a:noFill/>
                  </a:ln>
                </pic:spPr>
              </pic:pic>
            </a:graphicData>
          </a:graphic>
        </wp:inline>
      </w:drawing>
    </w:r>
  </w:p>
  <w:p w14:paraId="21B9E4A7" w14:textId="77777777" w:rsidR="003060B9" w:rsidRDefault="003060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B143E"/>
    <w:multiLevelType w:val="hybridMultilevel"/>
    <w:tmpl w:val="B7A01268"/>
    <w:lvl w:ilvl="0" w:tplc="31727408">
      <w:start w:val="1"/>
      <w:numFmt w:val="decimal"/>
      <w:lvlText w:val="%1."/>
      <w:lvlJc w:val="left"/>
      <w:pPr>
        <w:ind w:left="1129" w:hanging="42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 w15:restartNumberingAfterBreak="0">
    <w:nsid w:val="0BD51B2B"/>
    <w:multiLevelType w:val="hybridMultilevel"/>
    <w:tmpl w:val="07E4F026"/>
    <w:lvl w:ilvl="0" w:tplc="B5FE863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163C31FC"/>
    <w:multiLevelType w:val="hybridMultilevel"/>
    <w:tmpl w:val="178010F2"/>
    <w:lvl w:ilvl="0" w:tplc="40686500">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1A335854"/>
    <w:multiLevelType w:val="hybridMultilevel"/>
    <w:tmpl w:val="BEDA554E"/>
    <w:lvl w:ilvl="0" w:tplc="CE3081AA">
      <w:start w:val="3"/>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4" w15:restartNumberingAfterBreak="0">
    <w:nsid w:val="56CA47D9"/>
    <w:multiLevelType w:val="hybridMultilevel"/>
    <w:tmpl w:val="72AC9CEC"/>
    <w:lvl w:ilvl="0" w:tplc="77FA192E">
      <w:start w:val="1"/>
      <w:numFmt w:val="decimal"/>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5" w15:restartNumberingAfterBreak="0">
    <w:nsid w:val="62F814FA"/>
    <w:multiLevelType w:val="hybridMultilevel"/>
    <w:tmpl w:val="C94AD232"/>
    <w:lvl w:ilvl="0" w:tplc="D6B214AE">
      <w:start w:val="1"/>
      <w:numFmt w:val="decimal"/>
      <w:lvlText w:val="%1."/>
      <w:lvlJc w:val="left"/>
      <w:pPr>
        <w:ind w:left="1069" w:hanging="360"/>
      </w:pPr>
      <w:rPr>
        <w:rFonts w:eastAsia="Calibri" w:cs="Times New Roman"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CO" w:vendorID="64" w:dllVersion="6" w:nlCheck="1" w:checkStyle="0"/>
  <w:activeWritingStyle w:appName="MSWord" w:lang="es-MX" w:vendorID="64" w:dllVersion="6" w:nlCheck="1" w:checkStyle="1"/>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pt-BR" w:vendorID="64" w:dllVersion="4096" w:nlCheck="1" w:checkStyle="0"/>
  <w:activeWritingStyle w:appName="MSWord" w:lang="fr-FR" w:vendorID="64" w:dllVersion="0" w:nlCheck="1" w:checkStyle="0"/>
  <w:activeWritingStyle w:appName="MSWord" w:lang="fr-FR"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s-MX" w:vendorID="64" w:dllVersion="131078" w:nlCheck="1" w:checkStyle="1"/>
  <w:activeWritingStyle w:appName="MSWord" w:lang="es-CO"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FA4"/>
    <w:rsid w:val="000048EB"/>
    <w:rsid w:val="00010A77"/>
    <w:rsid w:val="00011032"/>
    <w:rsid w:val="00012CF6"/>
    <w:rsid w:val="00016B71"/>
    <w:rsid w:val="000177EB"/>
    <w:rsid w:val="0002135D"/>
    <w:rsid w:val="000310D9"/>
    <w:rsid w:val="00034405"/>
    <w:rsid w:val="000359B2"/>
    <w:rsid w:val="00036DB7"/>
    <w:rsid w:val="00036DEF"/>
    <w:rsid w:val="000379E9"/>
    <w:rsid w:val="0004058F"/>
    <w:rsid w:val="00042874"/>
    <w:rsid w:val="0004666B"/>
    <w:rsid w:val="00051060"/>
    <w:rsid w:val="00054F08"/>
    <w:rsid w:val="0005553E"/>
    <w:rsid w:val="0005562A"/>
    <w:rsid w:val="00063554"/>
    <w:rsid w:val="000644AE"/>
    <w:rsid w:val="00065568"/>
    <w:rsid w:val="000661DF"/>
    <w:rsid w:val="000676D5"/>
    <w:rsid w:val="00067E61"/>
    <w:rsid w:val="00073B88"/>
    <w:rsid w:val="00075A6A"/>
    <w:rsid w:val="00075CC8"/>
    <w:rsid w:val="00077063"/>
    <w:rsid w:val="00082194"/>
    <w:rsid w:val="0008224E"/>
    <w:rsid w:val="00090848"/>
    <w:rsid w:val="00090DB1"/>
    <w:rsid w:val="00092421"/>
    <w:rsid w:val="000A2C82"/>
    <w:rsid w:val="000A304D"/>
    <w:rsid w:val="000A33DC"/>
    <w:rsid w:val="000A7A41"/>
    <w:rsid w:val="000B0089"/>
    <w:rsid w:val="000B08F1"/>
    <w:rsid w:val="000B187A"/>
    <w:rsid w:val="000B2EEB"/>
    <w:rsid w:val="000B30E7"/>
    <w:rsid w:val="000B5FE5"/>
    <w:rsid w:val="000B737C"/>
    <w:rsid w:val="000B7DDD"/>
    <w:rsid w:val="000C0E16"/>
    <w:rsid w:val="000C1216"/>
    <w:rsid w:val="000C31E3"/>
    <w:rsid w:val="000C5BED"/>
    <w:rsid w:val="000C5F2F"/>
    <w:rsid w:val="000C7C5A"/>
    <w:rsid w:val="000D1356"/>
    <w:rsid w:val="000E1111"/>
    <w:rsid w:val="000E16F4"/>
    <w:rsid w:val="000E5ACA"/>
    <w:rsid w:val="000F32FC"/>
    <w:rsid w:val="000F3819"/>
    <w:rsid w:val="000F4A39"/>
    <w:rsid w:val="000F5812"/>
    <w:rsid w:val="000F73D2"/>
    <w:rsid w:val="00100C1E"/>
    <w:rsid w:val="00100EA8"/>
    <w:rsid w:val="001060B7"/>
    <w:rsid w:val="0011716F"/>
    <w:rsid w:val="00117241"/>
    <w:rsid w:val="001244C9"/>
    <w:rsid w:val="00126C7D"/>
    <w:rsid w:val="00131A3B"/>
    <w:rsid w:val="00132BCD"/>
    <w:rsid w:val="00133238"/>
    <w:rsid w:val="00134294"/>
    <w:rsid w:val="001355D7"/>
    <w:rsid w:val="00136CB9"/>
    <w:rsid w:val="00143F33"/>
    <w:rsid w:val="00145F0F"/>
    <w:rsid w:val="00146695"/>
    <w:rsid w:val="00146F0F"/>
    <w:rsid w:val="001475EC"/>
    <w:rsid w:val="00160788"/>
    <w:rsid w:val="001619D0"/>
    <w:rsid w:val="00164E76"/>
    <w:rsid w:val="001676D1"/>
    <w:rsid w:val="001715C2"/>
    <w:rsid w:val="00177CDF"/>
    <w:rsid w:val="00181D17"/>
    <w:rsid w:val="001821E4"/>
    <w:rsid w:val="00184AE6"/>
    <w:rsid w:val="001851B5"/>
    <w:rsid w:val="00191F13"/>
    <w:rsid w:val="0019239B"/>
    <w:rsid w:val="00192CBA"/>
    <w:rsid w:val="00193728"/>
    <w:rsid w:val="001947B1"/>
    <w:rsid w:val="00196B75"/>
    <w:rsid w:val="001A15D3"/>
    <w:rsid w:val="001A1B08"/>
    <w:rsid w:val="001A26F2"/>
    <w:rsid w:val="001A3E9A"/>
    <w:rsid w:val="001A6116"/>
    <w:rsid w:val="001A6CAF"/>
    <w:rsid w:val="001A7CD2"/>
    <w:rsid w:val="001B50C6"/>
    <w:rsid w:val="001B696A"/>
    <w:rsid w:val="001C2C14"/>
    <w:rsid w:val="001D0D89"/>
    <w:rsid w:val="001D266F"/>
    <w:rsid w:val="001D62B0"/>
    <w:rsid w:val="001E0D6A"/>
    <w:rsid w:val="001E12D4"/>
    <w:rsid w:val="001E402F"/>
    <w:rsid w:val="001E5BCA"/>
    <w:rsid w:val="001E734D"/>
    <w:rsid w:val="001F056A"/>
    <w:rsid w:val="001F3619"/>
    <w:rsid w:val="001F3B23"/>
    <w:rsid w:val="001F6083"/>
    <w:rsid w:val="002015A1"/>
    <w:rsid w:val="00201A24"/>
    <w:rsid w:val="002023E9"/>
    <w:rsid w:val="00202B4F"/>
    <w:rsid w:val="00204DE2"/>
    <w:rsid w:val="002076BC"/>
    <w:rsid w:val="002104C4"/>
    <w:rsid w:val="00211FC5"/>
    <w:rsid w:val="00212154"/>
    <w:rsid w:val="00212EBA"/>
    <w:rsid w:val="002206DF"/>
    <w:rsid w:val="00222C00"/>
    <w:rsid w:val="002240EF"/>
    <w:rsid w:val="0022462F"/>
    <w:rsid w:val="002263BA"/>
    <w:rsid w:val="00226C0B"/>
    <w:rsid w:val="00234E7E"/>
    <w:rsid w:val="002405DE"/>
    <w:rsid w:val="0024207C"/>
    <w:rsid w:val="00242B78"/>
    <w:rsid w:val="00247A6C"/>
    <w:rsid w:val="0025083D"/>
    <w:rsid w:val="00251048"/>
    <w:rsid w:val="00251A97"/>
    <w:rsid w:val="00255BF3"/>
    <w:rsid w:val="00255C65"/>
    <w:rsid w:val="002720BA"/>
    <w:rsid w:val="00273716"/>
    <w:rsid w:val="00277F5C"/>
    <w:rsid w:val="002840FD"/>
    <w:rsid w:val="002860FF"/>
    <w:rsid w:val="002941AA"/>
    <w:rsid w:val="002963BC"/>
    <w:rsid w:val="002A014B"/>
    <w:rsid w:val="002A02F6"/>
    <w:rsid w:val="002A2A06"/>
    <w:rsid w:val="002A312B"/>
    <w:rsid w:val="002A4322"/>
    <w:rsid w:val="002B0071"/>
    <w:rsid w:val="002B0551"/>
    <w:rsid w:val="002B59E3"/>
    <w:rsid w:val="002C2A89"/>
    <w:rsid w:val="002C7A58"/>
    <w:rsid w:val="002D05E7"/>
    <w:rsid w:val="002D1CFC"/>
    <w:rsid w:val="002D26F7"/>
    <w:rsid w:val="002D27C2"/>
    <w:rsid w:val="002D30F9"/>
    <w:rsid w:val="002D3177"/>
    <w:rsid w:val="002D704E"/>
    <w:rsid w:val="002E1DE6"/>
    <w:rsid w:val="002F1015"/>
    <w:rsid w:val="002F3860"/>
    <w:rsid w:val="002F42E1"/>
    <w:rsid w:val="002F54F9"/>
    <w:rsid w:val="00301C79"/>
    <w:rsid w:val="00304CDA"/>
    <w:rsid w:val="003060B9"/>
    <w:rsid w:val="003071C9"/>
    <w:rsid w:val="00314276"/>
    <w:rsid w:val="00324979"/>
    <w:rsid w:val="00330411"/>
    <w:rsid w:val="00331972"/>
    <w:rsid w:val="00333B5C"/>
    <w:rsid w:val="00340F6B"/>
    <w:rsid w:val="00341452"/>
    <w:rsid w:val="00341DDE"/>
    <w:rsid w:val="0034251F"/>
    <w:rsid w:val="00342A4F"/>
    <w:rsid w:val="00343186"/>
    <w:rsid w:val="00343651"/>
    <w:rsid w:val="003439C7"/>
    <w:rsid w:val="003506CB"/>
    <w:rsid w:val="00350883"/>
    <w:rsid w:val="003517B9"/>
    <w:rsid w:val="003634F8"/>
    <w:rsid w:val="003643C5"/>
    <w:rsid w:val="003652EA"/>
    <w:rsid w:val="00365BF5"/>
    <w:rsid w:val="00367337"/>
    <w:rsid w:val="00372C2F"/>
    <w:rsid w:val="0037588D"/>
    <w:rsid w:val="00376106"/>
    <w:rsid w:val="00382FE7"/>
    <w:rsid w:val="00384B56"/>
    <w:rsid w:val="003A67DC"/>
    <w:rsid w:val="003B164E"/>
    <w:rsid w:val="003B2F0F"/>
    <w:rsid w:val="003B3754"/>
    <w:rsid w:val="003B37F4"/>
    <w:rsid w:val="003B6450"/>
    <w:rsid w:val="003C153B"/>
    <w:rsid w:val="003C5253"/>
    <w:rsid w:val="003C59E0"/>
    <w:rsid w:val="003C5A33"/>
    <w:rsid w:val="003C6077"/>
    <w:rsid w:val="003C653D"/>
    <w:rsid w:val="003C787A"/>
    <w:rsid w:val="003D0775"/>
    <w:rsid w:val="003D1861"/>
    <w:rsid w:val="003D1EDC"/>
    <w:rsid w:val="003D2776"/>
    <w:rsid w:val="003D547B"/>
    <w:rsid w:val="003D6E95"/>
    <w:rsid w:val="003E0A01"/>
    <w:rsid w:val="003F1455"/>
    <w:rsid w:val="003F1B19"/>
    <w:rsid w:val="00402181"/>
    <w:rsid w:val="00405688"/>
    <w:rsid w:val="00405F1C"/>
    <w:rsid w:val="00410954"/>
    <w:rsid w:val="00410B8D"/>
    <w:rsid w:val="00410DBD"/>
    <w:rsid w:val="004115B7"/>
    <w:rsid w:val="0041229F"/>
    <w:rsid w:val="00423D9F"/>
    <w:rsid w:val="00425346"/>
    <w:rsid w:val="004259F4"/>
    <w:rsid w:val="00425A3F"/>
    <w:rsid w:val="00425E9C"/>
    <w:rsid w:val="0043247D"/>
    <w:rsid w:val="00433276"/>
    <w:rsid w:val="00434BDF"/>
    <w:rsid w:val="004374C0"/>
    <w:rsid w:val="004463A9"/>
    <w:rsid w:val="004464A4"/>
    <w:rsid w:val="00447BCA"/>
    <w:rsid w:val="00447D52"/>
    <w:rsid w:val="004515FB"/>
    <w:rsid w:val="00452B2D"/>
    <w:rsid w:val="00453F61"/>
    <w:rsid w:val="00453FA0"/>
    <w:rsid w:val="00455685"/>
    <w:rsid w:val="004573DD"/>
    <w:rsid w:val="004574BA"/>
    <w:rsid w:val="00457DBF"/>
    <w:rsid w:val="004624B5"/>
    <w:rsid w:val="004637D6"/>
    <w:rsid w:val="0046387D"/>
    <w:rsid w:val="00464D2B"/>
    <w:rsid w:val="004666A0"/>
    <w:rsid w:val="00470670"/>
    <w:rsid w:val="0047330F"/>
    <w:rsid w:val="0047719B"/>
    <w:rsid w:val="00477C94"/>
    <w:rsid w:val="004830A3"/>
    <w:rsid w:val="00483823"/>
    <w:rsid w:val="00483D63"/>
    <w:rsid w:val="00486511"/>
    <w:rsid w:val="00487655"/>
    <w:rsid w:val="0049083D"/>
    <w:rsid w:val="00491F85"/>
    <w:rsid w:val="004922D7"/>
    <w:rsid w:val="00494B3B"/>
    <w:rsid w:val="00494DFC"/>
    <w:rsid w:val="004A3FF7"/>
    <w:rsid w:val="004A562C"/>
    <w:rsid w:val="004B07AF"/>
    <w:rsid w:val="004B0B68"/>
    <w:rsid w:val="004B0DA2"/>
    <w:rsid w:val="004B2742"/>
    <w:rsid w:val="004B41DB"/>
    <w:rsid w:val="004B4B7A"/>
    <w:rsid w:val="004B691A"/>
    <w:rsid w:val="004C0C75"/>
    <w:rsid w:val="004C0CB5"/>
    <w:rsid w:val="004C3324"/>
    <w:rsid w:val="004C7D0C"/>
    <w:rsid w:val="004D28C2"/>
    <w:rsid w:val="004D33AE"/>
    <w:rsid w:val="004E016C"/>
    <w:rsid w:val="004E0803"/>
    <w:rsid w:val="004E0CE2"/>
    <w:rsid w:val="004E56FE"/>
    <w:rsid w:val="004E59EC"/>
    <w:rsid w:val="004E7C00"/>
    <w:rsid w:val="004F18FD"/>
    <w:rsid w:val="004F2195"/>
    <w:rsid w:val="004F32F4"/>
    <w:rsid w:val="004F3AEB"/>
    <w:rsid w:val="004F3E87"/>
    <w:rsid w:val="004F584C"/>
    <w:rsid w:val="00503BD3"/>
    <w:rsid w:val="00511898"/>
    <w:rsid w:val="00512F48"/>
    <w:rsid w:val="005159DB"/>
    <w:rsid w:val="00522D44"/>
    <w:rsid w:val="0052311C"/>
    <w:rsid w:val="00524BC1"/>
    <w:rsid w:val="00524C60"/>
    <w:rsid w:val="005261A0"/>
    <w:rsid w:val="00526B42"/>
    <w:rsid w:val="00540003"/>
    <w:rsid w:val="005431A6"/>
    <w:rsid w:val="00546223"/>
    <w:rsid w:val="00546972"/>
    <w:rsid w:val="00546FE9"/>
    <w:rsid w:val="00547E84"/>
    <w:rsid w:val="00552066"/>
    <w:rsid w:val="00554A3A"/>
    <w:rsid w:val="00556F78"/>
    <w:rsid w:val="00557A20"/>
    <w:rsid w:val="00557C20"/>
    <w:rsid w:val="00557F00"/>
    <w:rsid w:val="00560E00"/>
    <w:rsid w:val="005613C5"/>
    <w:rsid w:val="00561EB3"/>
    <w:rsid w:val="0056478B"/>
    <w:rsid w:val="00564A82"/>
    <w:rsid w:val="005656C1"/>
    <w:rsid w:val="00567C67"/>
    <w:rsid w:val="005733D3"/>
    <w:rsid w:val="00573DC8"/>
    <w:rsid w:val="00575D72"/>
    <w:rsid w:val="00576ABA"/>
    <w:rsid w:val="0058067D"/>
    <w:rsid w:val="005819A1"/>
    <w:rsid w:val="005828C9"/>
    <w:rsid w:val="00582C73"/>
    <w:rsid w:val="00590490"/>
    <w:rsid w:val="0059282A"/>
    <w:rsid w:val="00594758"/>
    <w:rsid w:val="00594FB1"/>
    <w:rsid w:val="00595AD9"/>
    <w:rsid w:val="00595DF6"/>
    <w:rsid w:val="00595F4C"/>
    <w:rsid w:val="00596094"/>
    <w:rsid w:val="00597F40"/>
    <w:rsid w:val="005A1FCA"/>
    <w:rsid w:val="005A23AC"/>
    <w:rsid w:val="005A3D5D"/>
    <w:rsid w:val="005A3F3B"/>
    <w:rsid w:val="005A5142"/>
    <w:rsid w:val="005A6F48"/>
    <w:rsid w:val="005B1D54"/>
    <w:rsid w:val="005B235D"/>
    <w:rsid w:val="005B3714"/>
    <w:rsid w:val="005B4A35"/>
    <w:rsid w:val="005C0343"/>
    <w:rsid w:val="005C1270"/>
    <w:rsid w:val="005C21EF"/>
    <w:rsid w:val="005C3F2A"/>
    <w:rsid w:val="005D0047"/>
    <w:rsid w:val="005D09D3"/>
    <w:rsid w:val="005D0EAD"/>
    <w:rsid w:val="005D1AF7"/>
    <w:rsid w:val="005D445D"/>
    <w:rsid w:val="005D696D"/>
    <w:rsid w:val="005D6C9B"/>
    <w:rsid w:val="005D7602"/>
    <w:rsid w:val="005D76D3"/>
    <w:rsid w:val="005E3927"/>
    <w:rsid w:val="005E4015"/>
    <w:rsid w:val="005E7376"/>
    <w:rsid w:val="005F095D"/>
    <w:rsid w:val="005F3B52"/>
    <w:rsid w:val="005F7623"/>
    <w:rsid w:val="00600086"/>
    <w:rsid w:val="00600259"/>
    <w:rsid w:val="00601357"/>
    <w:rsid w:val="00601720"/>
    <w:rsid w:val="006038E3"/>
    <w:rsid w:val="0060716B"/>
    <w:rsid w:val="00610321"/>
    <w:rsid w:val="0061132E"/>
    <w:rsid w:val="00611B93"/>
    <w:rsid w:val="00611CAB"/>
    <w:rsid w:val="00612188"/>
    <w:rsid w:val="00612EAB"/>
    <w:rsid w:val="00620405"/>
    <w:rsid w:val="00621090"/>
    <w:rsid w:val="006222C7"/>
    <w:rsid w:val="006243FD"/>
    <w:rsid w:val="00624D2F"/>
    <w:rsid w:val="00625CBF"/>
    <w:rsid w:val="0062751F"/>
    <w:rsid w:val="00632D20"/>
    <w:rsid w:val="00633EA0"/>
    <w:rsid w:val="006364C0"/>
    <w:rsid w:val="0064704F"/>
    <w:rsid w:val="006509B4"/>
    <w:rsid w:val="00660878"/>
    <w:rsid w:val="00660D18"/>
    <w:rsid w:val="006616D3"/>
    <w:rsid w:val="00662498"/>
    <w:rsid w:val="00662B99"/>
    <w:rsid w:val="00662E84"/>
    <w:rsid w:val="006647BB"/>
    <w:rsid w:val="00676A52"/>
    <w:rsid w:val="006809E6"/>
    <w:rsid w:val="00686B8F"/>
    <w:rsid w:val="00687825"/>
    <w:rsid w:val="0069183C"/>
    <w:rsid w:val="00691DD1"/>
    <w:rsid w:val="00695090"/>
    <w:rsid w:val="00697430"/>
    <w:rsid w:val="006A048B"/>
    <w:rsid w:val="006A052F"/>
    <w:rsid w:val="006C11EF"/>
    <w:rsid w:val="006C153C"/>
    <w:rsid w:val="006C57B4"/>
    <w:rsid w:val="006D1618"/>
    <w:rsid w:val="006D1A42"/>
    <w:rsid w:val="006D1E27"/>
    <w:rsid w:val="006D2224"/>
    <w:rsid w:val="006D6E63"/>
    <w:rsid w:val="006D7544"/>
    <w:rsid w:val="006D7737"/>
    <w:rsid w:val="006D7A92"/>
    <w:rsid w:val="006E22AC"/>
    <w:rsid w:val="006E25BA"/>
    <w:rsid w:val="006E32F1"/>
    <w:rsid w:val="006E3851"/>
    <w:rsid w:val="006E4A2B"/>
    <w:rsid w:val="006E58D0"/>
    <w:rsid w:val="006E5BCD"/>
    <w:rsid w:val="006F21A4"/>
    <w:rsid w:val="006F22BE"/>
    <w:rsid w:val="006F53B5"/>
    <w:rsid w:val="006F57C7"/>
    <w:rsid w:val="006F6EA0"/>
    <w:rsid w:val="00701A46"/>
    <w:rsid w:val="00701D70"/>
    <w:rsid w:val="007057E2"/>
    <w:rsid w:val="007060B8"/>
    <w:rsid w:val="0071034D"/>
    <w:rsid w:val="007106A9"/>
    <w:rsid w:val="00712599"/>
    <w:rsid w:val="00712A98"/>
    <w:rsid w:val="00722E84"/>
    <w:rsid w:val="007261CD"/>
    <w:rsid w:val="00726F3F"/>
    <w:rsid w:val="00727A1D"/>
    <w:rsid w:val="00727BD4"/>
    <w:rsid w:val="00734852"/>
    <w:rsid w:val="00735967"/>
    <w:rsid w:val="00736C67"/>
    <w:rsid w:val="00741D7F"/>
    <w:rsid w:val="00744C60"/>
    <w:rsid w:val="00771318"/>
    <w:rsid w:val="00772FD7"/>
    <w:rsid w:val="00777633"/>
    <w:rsid w:val="00782DCB"/>
    <w:rsid w:val="00785831"/>
    <w:rsid w:val="00790624"/>
    <w:rsid w:val="00791B9F"/>
    <w:rsid w:val="007931CE"/>
    <w:rsid w:val="00793212"/>
    <w:rsid w:val="00793D33"/>
    <w:rsid w:val="007A0596"/>
    <w:rsid w:val="007A2C57"/>
    <w:rsid w:val="007A4255"/>
    <w:rsid w:val="007A458F"/>
    <w:rsid w:val="007A4D39"/>
    <w:rsid w:val="007A6742"/>
    <w:rsid w:val="007A6D81"/>
    <w:rsid w:val="007A7E17"/>
    <w:rsid w:val="007B0E74"/>
    <w:rsid w:val="007B0F8A"/>
    <w:rsid w:val="007B5018"/>
    <w:rsid w:val="007B5C31"/>
    <w:rsid w:val="007C3D5B"/>
    <w:rsid w:val="007C6248"/>
    <w:rsid w:val="007D02F6"/>
    <w:rsid w:val="007D3EC4"/>
    <w:rsid w:val="007D4C73"/>
    <w:rsid w:val="007D661A"/>
    <w:rsid w:val="007D73F5"/>
    <w:rsid w:val="007E319B"/>
    <w:rsid w:val="007E41FF"/>
    <w:rsid w:val="007E5ED0"/>
    <w:rsid w:val="007E60BB"/>
    <w:rsid w:val="007E73F4"/>
    <w:rsid w:val="007F1D24"/>
    <w:rsid w:val="007F4CF3"/>
    <w:rsid w:val="00800FBD"/>
    <w:rsid w:val="0080385F"/>
    <w:rsid w:val="00804039"/>
    <w:rsid w:val="0080741C"/>
    <w:rsid w:val="008108E4"/>
    <w:rsid w:val="0081209F"/>
    <w:rsid w:val="00812235"/>
    <w:rsid w:val="008126FB"/>
    <w:rsid w:val="00812F37"/>
    <w:rsid w:val="008133FF"/>
    <w:rsid w:val="00820B0F"/>
    <w:rsid w:val="008238D3"/>
    <w:rsid w:val="00825BD6"/>
    <w:rsid w:val="00832562"/>
    <w:rsid w:val="00832698"/>
    <w:rsid w:val="00832A61"/>
    <w:rsid w:val="00835F39"/>
    <w:rsid w:val="00840B3C"/>
    <w:rsid w:val="00843F9C"/>
    <w:rsid w:val="008479E4"/>
    <w:rsid w:val="00850177"/>
    <w:rsid w:val="0085151F"/>
    <w:rsid w:val="00854943"/>
    <w:rsid w:val="008550F6"/>
    <w:rsid w:val="00855807"/>
    <w:rsid w:val="00856C9D"/>
    <w:rsid w:val="00856F32"/>
    <w:rsid w:val="0085799E"/>
    <w:rsid w:val="00862AAF"/>
    <w:rsid w:val="0086531F"/>
    <w:rsid w:val="008655E1"/>
    <w:rsid w:val="008674DC"/>
    <w:rsid w:val="0087036C"/>
    <w:rsid w:val="00875868"/>
    <w:rsid w:val="0087654E"/>
    <w:rsid w:val="00877CA8"/>
    <w:rsid w:val="00885E62"/>
    <w:rsid w:val="00891F54"/>
    <w:rsid w:val="00895BDD"/>
    <w:rsid w:val="0089663B"/>
    <w:rsid w:val="008A1D24"/>
    <w:rsid w:val="008A1F10"/>
    <w:rsid w:val="008A56BC"/>
    <w:rsid w:val="008A5AC8"/>
    <w:rsid w:val="008A672B"/>
    <w:rsid w:val="008A70FC"/>
    <w:rsid w:val="008B2183"/>
    <w:rsid w:val="008B229A"/>
    <w:rsid w:val="008B53CF"/>
    <w:rsid w:val="008B5907"/>
    <w:rsid w:val="008C1D0F"/>
    <w:rsid w:val="008C6580"/>
    <w:rsid w:val="008C7E50"/>
    <w:rsid w:val="008D04AF"/>
    <w:rsid w:val="008D2C26"/>
    <w:rsid w:val="008D46A9"/>
    <w:rsid w:val="008D72FB"/>
    <w:rsid w:val="008E0311"/>
    <w:rsid w:val="008E08BC"/>
    <w:rsid w:val="008E2735"/>
    <w:rsid w:val="008E7608"/>
    <w:rsid w:val="008E79D1"/>
    <w:rsid w:val="008F004A"/>
    <w:rsid w:val="008F1EDC"/>
    <w:rsid w:val="008F276D"/>
    <w:rsid w:val="008F5B98"/>
    <w:rsid w:val="008F5F6D"/>
    <w:rsid w:val="008F68D5"/>
    <w:rsid w:val="008F6C5A"/>
    <w:rsid w:val="00901C3D"/>
    <w:rsid w:val="00904DA2"/>
    <w:rsid w:val="0090758C"/>
    <w:rsid w:val="00907665"/>
    <w:rsid w:val="0090792A"/>
    <w:rsid w:val="009107AE"/>
    <w:rsid w:val="00913A0C"/>
    <w:rsid w:val="00914231"/>
    <w:rsid w:val="00920535"/>
    <w:rsid w:val="00930262"/>
    <w:rsid w:val="009302B7"/>
    <w:rsid w:val="009309F6"/>
    <w:rsid w:val="00932F99"/>
    <w:rsid w:val="009330B6"/>
    <w:rsid w:val="009343C9"/>
    <w:rsid w:val="00934820"/>
    <w:rsid w:val="009401CF"/>
    <w:rsid w:val="00942252"/>
    <w:rsid w:val="00943032"/>
    <w:rsid w:val="009436EB"/>
    <w:rsid w:val="0094429B"/>
    <w:rsid w:val="009505E2"/>
    <w:rsid w:val="009537AF"/>
    <w:rsid w:val="00954F4E"/>
    <w:rsid w:val="0096312C"/>
    <w:rsid w:val="00963352"/>
    <w:rsid w:val="00965E90"/>
    <w:rsid w:val="00966139"/>
    <w:rsid w:val="00966D9B"/>
    <w:rsid w:val="00966E18"/>
    <w:rsid w:val="00967C11"/>
    <w:rsid w:val="0097557E"/>
    <w:rsid w:val="0098149B"/>
    <w:rsid w:val="00981878"/>
    <w:rsid w:val="00981FA7"/>
    <w:rsid w:val="0098217F"/>
    <w:rsid w:val="009821D0"/>
    <w:rsid w:val="00987465"/>
    <w:rsid w:val="00992CD6"/>
    <w:rsid w:val="00994026"/>
    <w:rsid w:val="009955B9"/>
    <w:rsid w:val="00997C28"/>
    <w:rsid w:val="009A157E"/>
    <w:rsid w:val="009A2324"/>
    <w:rsid w:val="009A2A0A"/>
    <w:rsid w:val="009A5C44"/>
    <w:rsid w:val="009B20FD"/>
    <w:rsid w:val="009B5DAE"/>
    <w:rsid w:val="009B7027"/>
    <w:rsid w:val="009C6BCF"/>
    <w:rsid w:val="009C7120"/>
    <w:rsid w:val="009C7B23"/>
    <w:rsid w:val="009D0524"/>
    <w:rsid w:val="009D0C8F"/>
    <w:rsid w:val="009D1CA3"/>
    <w:rsid w:val="009D295B"/>
    <w:rsid w:val="009E077A"/>
    <w:rsid w:val="009E1624"/>
    <w:rsid w:val="009E4C71"/>
    <w:rsid w:val="009E53F5"/>
    <w:rsid w:val="009E5B30"/>
    <w:rsid w:val="009F3D2F"/>
    <w:rsid w:val="009F4510"/>
    <w:rsid w:val="009F5179"/>
    <w:rsid w:val="009F6467"/>
    <w:rsid w:val="009F69E1"/>
    <w:rsid w:val="00A00590"/>
    <w:rsid w:val="00A01F7E"/>
    <w:rsid w:val="00A0349F"/>
    <w:rsid w:val="00A04218"/>
    <w:rsid w:val="00A136FB"/>
    <w:rsid w:val="00A17CDF"/>
    <w:rsid w:val="00A20D6B"/>
    <w:rsid w:val="00A21A1D"/>
    <w:rsid w:val="00A22AA4"/>
    <w:rsid w:val="00A23442"/>
    <w:rsid w:val="00A2647E"/>
    <w:rsid w:val="00A30995"/>
    <w:rsid w:val="00A32793"/>
    <w:rsid w:val="00A3349B"/>
    <w:rsid w:val="00A37151"/>
    <w:rsid w:val="00A4308B"/>
    <w:rsid w:val="00A51F55"/>
    <w:rsid w:val="00A567DD"/>
    <w:rsid w:val="00A6331A"/>
    <w:rsid w:val="00A63C87"/>
    <w:rsid w:val="00A64E2D"/>
    <w:rsid w:val="00A66215"/>
    <w:rsid w:val="00A700A5"/>
    <w:rsid w:val="00A718F4"/>
    <w:rsid w:val="00A71C2F"/>
    <w:rsid w:val="00A82C3F"/>
    <w:rsid w:val="00A836B6"/>
    <w:rsid w:val="00A83949"/>
    <w:rsid w:val="00A879B3"/>
    <w:rsid w:val="00A938B2"/>
    <w:rsid w:val="00A941D8"/>
    <w:rsid w:val="00A97F55"/>
    <w:rsid w:val="00AA1B7E"/>
    <w:rsid w:val="00AA4E1E"/>
    <w:rsid w:val="00AB02B9"/>
    <w:rsid w:val="00AB36BB"/>
    <w:rsid w:val="00AB52FA"/>
    <w:rsid w:val="00AB5926"/>
    <w:rsid w:val="00AB7EDB"/>
    <w:rsid w:val="00AC2648"/>
    <w:rsid w:val="00AC27C9"/>
    <w:rsid w:val="00AC36D2"/>
    <w:rsid w:val="00AC3C4D"/>
    <w:rsid w:val="00AD2D70"/>
    <w:rsid w:val="00AD428A"/>
    <w:rsid w:val="00AD6E64"/>
    <w:rsid w:val="00AD71DB"/>
    <w:rsid w:val="00AD7BE4"/>
    <w:rsid w:val="00AD7FD5"/>
    <w:rsid w:val="00AE118D"/>
    <w:rsid w:val="00AE1C55"/>
    <w:rsid w:val="00AE43C6"/>
    <w:rsid w:val="00AE59FF"/>
    <w:rsid w:val="00AE5E60"/>
    <w:rsid w:val="00AE6E01"/>
    <w:rsid w:val="00AE70A5"/>
    <w:rsid w:val="00AF2F42"/>
    <w:rsid w:val="00AF48B0"/>
    <w:rsid w:val="00AF5DF2"/>
    <w:rsid w:val="00AF63F7"/>
    <w:rsid w:val="00AF7C10"/>
    <w:rsid w:val="00B03C16"/>
    <w:rsid w:val="00B03E04"/>
    <w:rsid w:val="00B053E0"/>
    <w:rsid w:val="00B063EA"/>
    <w:rsid w:val="00B107C1"/>
    <w:rsid w:val="00B15A57"/>
    <w:rsid w:val="00B1751F"/>
    <w:rsid w:val="00B20518"/>
    <w:rsid w:val="00B22CF5"/>
    <w:rsid w:val="00B23255"/>
    <w:rsid w:val="00B234D2"/>
    <w:rsid w:val="00B25511"/>
    <w:rsid w:val="00B268A5"/>
    <w:rsid w:val="00B26B58"/>
    <w:rsid w:val="00B270D6"/>
    <w:rsid w:val="00B2716E"/>
    <w:rsid w:val="00B327B1"/>
    <w:rsid w:val="00B427CA"/>
    <w:rsid w:val="00B460C5"/>
    <w:rsid w:val="00B4685E"/>
    <w:rsid w:val="00B46BCD"/>
    <w:rsid w:val="00B46D0C"/>
    <w:rsid w:val="00B46D35"/>
    <w:rsid w:val="00B50A31"/>
    <w:rsid w:val="00B512A5"/>
    <w:rsid w:val="00B60523"/>
    <w:rsid w:val="00B60C9F"/>
    <w:rsid w:val="00B62E27"/>
    <w:rsid w:val="00B66295"/>
    <w:rsid w:val="00B73042"/>
    <w:rsid w:val="00B74FA4"/>
    <w:rsid w:val="00B7590F"/>
    <w:rsid w:val="00B76166"/>
    <w:rsid w:val="00B77B0A"/>
    <w:rsid w:val="00B82CBB"/>
    <w:rsid w:val="00B83885"/>
    <w:rsid w:val="00B849D5"/>
    <w:rsid w:val="00B90D0D"/>
    <w:rsid w:val="00B91333"/>
    <w:rsid w:val="00B93202"/>
    <w:rsid w:val="00B944CC"/>
    <w:rsid w:val="00B94BED"/>
    <w:rsid w:val="00B96D1A"/>
    <w:rsid w:val="00BA01ED"/>
    <w:rsid w:val="00BA3123"/>
    <w:rsid w:val="00BA5E83"/>
    <w:rsid w:val="00BA7029"/>
    <w:rsid w:val="00BB4714"/>
    <w:rsid w:val="00BC053F"/>
    <w:rsid w:val="00BC1544"/>
    <w:rsid w:val="00BC1B6E"/>
    <w:rsid w:val="00BC6043"/>
    <w:rsid w:val="00BC6B56"/>
    <w:rsid w:val="00BC72F4"/>
    <w:rsid w:val="00BD011B"/>
    <w:rsid w:val="00BD0756"/>
    <w:rsid w:val="00BD513E"/>
    <w:rsid w:val="00BD609D"/>
    <w:rsid w:val="00BD7397"/>
    <w:rsid w:val="00BE2C47"/>
    <w:rsid w:val="00BE727F"/>
    <w:rsid w:val="00BE7540"/>
    <w:rsid w:val="00BF0FFE"/>
    <w:rsid w:val="00BF1159"/>
    <w:rsid w:val="00BF2CE5"/>
    <w:rsid w:val="00BF4A4A"/>
    <w:rsid w:val="00C01529"/>
    <w:rsid w:val="00C027E4"/>
    <w:rsid w:val="00C03311"/>
    <w:rsid w:val="00C04790"/>
    <w:rsid w:val="00C06C5A"/>
    <w:rsid w:val="00C12AA5"/>
    <w:rsid w:val="00C13242"/>
    <w:rsid w:val="00C14A9B"/>
    <w:rsid w:val="00C16436"/>
    <w:rsid w:val="00C20F41"/>
    <w:rsid w:val="00C229C8"/>
    <w:rsid w:val="00C260B3"/>
    <w:rsid w:val="00C27047"/>
    <w:rsid w:val="00C30490"/>
    <w:rsid w:val="00C31A05"/>
    <w:rsid w:val="00C32B77"/>
    <w:rsid w:val="00C3371A"/>
    <w:rsid w:val="00C33816"/>
    <w:rsid w:val="00C36FC2"/>
    <w:rsid w:val="00C43CE7"/>
    <w:rsid w:val="00C46E96"/>
    <w:rsid w:val="00C47443"/>
    <w:rsid w:val="00C47587"/>
    <w:rsid w:val="00C53256"/>
    <w:rsid w:val="00C541A8"/>
    <w:rsid w:val="00C54705"/>
    <w:rsid w:val="00C61E7C"/>
    <w:rsid w:val="00C623E1"/>
    <w:rsid w:val="00C65948"/>
    <w:rsid w:val="00C66CF0"/>
    <w:rsid w:val="00C724A9"/>
    <w:rsid w:val="00C72AFF"/>
    <w:rsid w:val="00C74607"/>
    <w:rsid w:val="00C7635F"/>
    <w:rsid w:val="00C76F34"/>
    <w:rsid w:val="00C77942"/>
    <w:rsid w:val="00C779A8"/>
    <w:rsid w:val="00C80D8B"/>
    <w:rsid w:val="00C813DC"/>
    <w:rsid w:val="00C8185D"/>
    <w:rsid w:val="00C83484"/>
    <w:rsid w:val="00C83FDD"/>
    <w:rsid w:val="00C96FDA"/>
    <w:rsid w:val="00C97A42"/>
    <w:rsid w:val="00CA01EA"/>
    <w:rsid w:val="00CA117D"/>
    <w:rsid w:val="00CA16DD"/>
    <w:rsid w:val="00CA37B9"/>
    <w:rsid w:val="00CA3B8C"/>
    <w:rsid w:val="00CA6ABA"/>
    <w:rsid w:val="00CB407E"/>
    <w:rsid w:val="00CB5A09"/>
    <w:rsid w:val="00CB5C96"/>
    <w:rsid w:val="00CB6949"/>
    <w:rsid w:val="00CB7CB7"/>
    <w:rsid w:val="00CC0BEA"/>
    <w:rsid w:val="00CC29A1"/>
    <w:rsid w:val="00CC49F2"/>
    <w:rsid w:val="00CC4B32"/>
    <w:rsid w:val="00CC4C91"/>
    <w:rsid w:val="00CC55FA"/>
    <w:rsid w:val="00CC71D2"/>
    <w:rsid w:val="00CD52BE"/>
    <w:rsid w:val="00CE1AC4"/>
    <w:rsid w:val="00CE2C47"/>
    <w:rsid w:val="00CE376A"/>
    <w:rsid w:val="00CE3A68"/>
    <w:rsid w:val="00CF00F9"/>
    <w:rsid w:val="00CF0E7E"/>
    <w:rsid w:val="00D00FFB"/>
    <w:rsid w:val="00D019E7"/>
    <w:rsid w:val="00D02554"/>
    <w:rsid w:val="00D151E3"/>
    <w:rsid w:val="00D20F53"/>
    <w:rsid w:val="00D22846"/>
    <w:rsid w:val="00D235A7"/>
    <w:rsid w:val="00D245E4"/>
    <w:rsid w:val="00D31F30"/>
    <w:rsid w:val="00D3236A"/>
    <w:rsid w:val="00D32D53"/>
    <w:rsid w:val="00D3421F"/>
    <w:rsid w:val="00D357E7"/>
    <w:rsid w:val="00D35F79"/>
    <w:rsid w:val="00D372AF"/>
    <w:rsid w:val="00D37A6F"/>
    <w:rsid w:val="00D4190E"/>
    <w:rsid w:val="00D42A82"/>
    <w:rsid w:val="00D439EB"/>
    <w:rsid w:val="00D43F8A"/>
    <w:rsid w:val="00D44386"/>
    <w:rsid w:val="00D45CC3"/>
    <w:rsid w:val="00D45F39"/>
    <w:rsid w:val="00D47211"/>
    <w:rsid w:val="00D52B46"/>
    <w:rsid w:val="00D533BE"/>
    <w:rsid w:val="00D54BC9"/>
    <w:rsid w:val="00D61659"/>
    <w:rsid w:val="00D62147"/>
    <w:rsid w:val="00D63353"/>
    <w:rsid w:val="00D674C9"/>
    <w:rsid w:val="00D67950"/>
    <w:rsid w:val="00D73EB6"/>
    <w:rsid w:val="00D80604"/>
    <w:rsid w:val="00D80879"/>
    <w:rsid w:val="00D850C9"/>
    <w:rsid w:val="00D9015E"/>
    <w:rsid w:val="00D910CB"/>
    <w:rsid w:val="00D92593"/>
    <w:rsid w:val="00D94058"/>
    <w:rsid w:val="00D957CF"/>
    <w:rsid w:val="00D961C2"/>
    <w:rsid w:val="00D974FE"/>
    <w:rsid w:val="00DA18FE"/>
    <w:rsid w:val="00DA4E06"/>
    <w:rsid w:val="00DA5B47"/>
    <w:rsid w:val="00DB0606"/>
    <w:rsid w:val="00DB0A6B"/>
    <w:rsid w:val="00DB28A8"/>
    <w:rsid w:val="00DB61C3"/>
    <w:rsid w:val="00DB6AA0"/>
    <w:rsid w:val="00DC2E76"/>
    <w:rsid w:val="00DC6A13"/>
    <w:rsid w:val="00DD06BA"/>
    <w:rsid w:val="00DD1B8D"/>
    <w:rsid w:val="00DD3F4F"/>
    <w:rsid w:val="00DD4584"/>
    <w:rsid w:val="00DD5527"/>
    <w:rsid w:val="00DD7B2C"/>
    <w:rsid w:val="00DD7D4E"/>
    <w:rsid w:val="00DE085A"/>
    <w:rsid w:val="00DE29B4"/>
    <w:rsid w:val="00DE329A"/>
    <w:rsid w:val="00DE434C"/>
    <w:rsid w:val="00DE52A3"/>
    <w:rsid w:val="00DE6D36"/>
    <w:rsid w:val="00DE6DD6"/>
    <w:rsid w:val="00DE7869"/>
    <w:rsid w:val="00DF3FBA"/>
    <w:rsid w:val="00DF5916"/>
    <w:rsid w:val="00DF7997"/>
    <w:rsid w:val="00E02596"/>
    <w:rsid w:val="00E02E3D"/>
    <w:rsid w:val="00E030BB"/>
    <w:rsid w:val="00E0352D"/>
    <w:rsid w:val="00E03750"/>
    <w:rsid w:val="00E038A6"/>
    <w:rsid w:val="00E04B5B"/>
    <w:rsid w:val="00E104BD"/>
    <w:rsid w:val="00E12F3C"/>
    <w:rsid w:val="00E147A5"/>
    <w:rsid w:val="00E237A5"/>
    <w:rsid w:val="00E263EA"/>
    <w:rsid w:val="00E26996"/>
    <w:rsid w:val="00E30608"/>
    <w:rsid w:val="00E30CDB"/>
    <w:rsid w:val="00E34DAD"/>
    <w:rsid w:val="00E410F3"/>
    <w:rsid w:val="00E41333"/>
    <w:rsid w:val="00E413D5"/>
    <w:rsid w:val="00E42200"/>
    <w:rsid w:val="00E45542"/>
    <w:rsid w:val="00E45582"/>
    <w:rsid w:val="00E50367"/>
    <w:rsid w:val="00E51EAF"/>
    <w:rsid w:val="00E51F2C"/>
    <w:rsid w:val="00E52420"/>
    <w:rsid w:val="00E5280E"/>
    <w:rsid w:val="00E53EEA"/>
    <w:rsid w:val="00E54763"/>
    <w:rsid w:val="00E55AEC"/>
    <w:rsid w:val="00E56203"/>
    <w:rsid w:val="00E62823"/>
    <w:rsid w:val="00E62DE1"/>
    <w:rsid w:val="00E64C49"/>
    <w:rsid w:val="00E6612C"/>
    <w:rsid w:val="00E66AC8"/>
    <w:rsid w:val="00E67797"/>
    <w:rsid w:val="00E67BAC"/>
    <w:rsid w:val="00E72C4E"/>
    <w:rsid w:val="00E754EF"/>
    <w:rsid w:val="00E75B1B"/>
    <w:rsid w:val="00E75E00"/>
    <w:rsid w:val="00E767F5"/>
    <w:rsid w:val="00E76CD2"/>
    <w:rsid w:val="00E8028D"/>
    <w:rsid w:val="00E82484"/>
    <w:rsid w:val="00E82920"/>
    <w:rsid w:val="00E83593"/>
    <w:rsid w:val="00E854F1"/>
    <w:rsid w:val="00E867E5"/>
    <w:rsid w:val="00E901FF"/>
    <w:rsid w:val="00E90390"/>
    <w:rsid w:val="00E92E04"/>
    <w:rsid w:val="00E953FB"/>
    <w:rsid w:val="00E95C9D"/>
    <w:rsid w:val="00E9647B"/>
    <w:rsid w:val="00E97DA3"/>
    <w:rsid w:val="00E97DC4"/>
    <w:rsid w:val="00EA1314"/>
    <w:rsid w:val="00EA2094"/>
    <w:rsid w:val="00EA257F"/>
    <w:rsid w:val="00EA2C28"/>
    <w:rsid w:val="00EA37F3"/>
    <w:rsid w:val="00EA502A"/>
    <w:rsid w:val="00EA5AA7"/>
    <w:rsid w:val="00EA6704"/>
    <w:rsid w:val="00EA7644"/>
    <w:rsid w:val="00EB05A6"/>
    <w:rsid w:val="00EB259D"/>
    <w:rsid w:val="00EB3798"/>
    <w:rsid w:val="00EB4F71"/>
    <w:rsid w:val="00EB5222"/>
    <w:rsid w:val="00EB55FA"/>
    <w:rsid w:val="00EC128F"/>
    <w:rsid w:val="00EC2768"/>
    <w:rsid w:val="00EC2975"/>
    <w:rsid w:val="00EC4472"/>
    <w:rsid w:val="00EC7286"/>
    <w:rsid w:val="00ED0033"/>
    <w:rsid w:val="00ED0E58"/>
    <w:rsid w:val="00ED1264"/>
    <w:rsid w:val="00ED1597"/>
    <w:rsid w:val="00ED2AED"/>
    <w:rsid w:val="00ED307E"/>
    <w:rsid w:val="00ED34B1"/>
    <w:rsid w:val="00ED3C0A"/>
    <w:rsid w:val="00ED4498"/>
    <w:rsid w:val="00ED49A0"/>
    <w:rsid w:val="00ED4CB7"/>
    <w:rsid w:val="00ED5179"/>
    <w:rsid w:val="00ED5F03"/>
    <w:rsid w:val="00EE1881"/>
    <w:rsid w:val="00EE35D6"/>
    <w:rsid w:val="00EE4DE4"/>
    <w:rsid w:val="00EE5724"/>
    <w:rsid w:val="00EE7271"/>
    <w:rsid w:val="00EF0709"/>
    <w:rsid w:val="00EF0B2D"/>
    <w:rsid w:val="00EF7130"/>
    <w:rsid w:val="00EF75C8"/>
    <w:rsid w:val="00F02B82"/>
    <w:rsid w:val="00F03FA8"/>
    <w:rsid w:val="00F04FA6"/>
    <w:rsid w:val="00F109DC"/>
    <w:rsid w:val="00F11185"/>
    <w:rsid w:val="00F12F7F"/>
    <w:rsid w:val="00F1350A"/>
    <w:rsid w:val="00F16B08"/>
    <w:rsid w:val="00F16E68"/>
    <w:rsid w:val="00F17DD0"/>
    <w:rsid w:val="00F20735"/>
    <w:rsid w:val="00F24570"/>
    <w:rsid w:val="00F2528B"/>
    <w:rsid w:val="00F262C7"/>
    <w:rsid w:val="00F2634B"/>
    <w:rsid w:val="00F27001"/>
    <w:rsid w:val="00F276C9"/>
    <w:rsid w:val="00F318F8"/>
    <w:rsid w:val="00F32390"/>
    <w:rsid w:val="00F32D3A"/>
    <w:rsid w:val="00F3540A"/>
    <w:rsid w:val="00F35627"/>
    <w:rsid w:val="00F37F93"/>
    <w:rsid w:val="00F41323"/>
    <w:rsid w:val="00F437BC"/>
    <w:rsid w:val="00F43F37"/>
    <w:rsid w:val="00F4517A"/>
    <w:rsid w:val="00F5210C"/>
    <w:rsid w:val="00F54499"/>
    <w:rsid w:val="00F64D65"/>
    <w:rsid w:val="00F675FD"/>
    <w:rsid w:val="00F70E3B"/>
    <w:rsid w:val="00F7671D"/>
    <w:rsid w:val="00F851C1"/>
    <w:rsid w:val="00F87537"/>
    <w:rsid w:val="00F9097A"/>
    <w:rsid w:val="00F9127E"/>
    <w:rsid w:val="00F91B02"/>
    <w:rsid w:val="00F926E3"/>
    <w:rsid w:val="00F944D1"/>
    <w:rsid w:val="00F97B2D"/>
    <w:rsid w:val="00FA0899"/>
    <w:rsid w:val="00FA6665"/>
    <w:rsid w:val="00FA691A"/>
    <w:rsid w:val="00FA789D"/>
    <w:rsid w:val="00FB2EA5"/>
    <w:rsid w:val="00FB33CF"/>
    <w:rsid w:val="00FB3B3F"/>
    <w:rsid w:val="00FB6B37"/>
    <w:rsid w:val="00FC0149"/>
    <w:rsid w:val="00FC0A23"/>
    <w:rsid w:val="00FC5AD1"/>
    <w:rsid w:val="00FC7B99"/>
    <w:rsid w:val="00FD05A0"/>
    <w:rsid w:val="00FD2205"/>
    <w:rsid w:val="00FD24CC"/>
    <w:rsid w:val="00FD2B73"/>
    <w:rsid w:val="00FD2FEA"/>
    <w:rsid w:val="00FD313F"/>
    <w:rsid w:val="00FD484B"/>
    <w:rsid w:val="00FD5E9A"/>
    <w:rsid w:val="00FD6595"/>
    <w:rsid w:val="00FD6E59"/>
    <w:rsid w:val="00FE0C21"/>
    <w:rsid w:val="00FE43AE"/>
    <w:rsid w:val="00FF0CBE"/>
    <w:rsid w:val="00FF3BEE"/>
    <w:rsid w:val="00FF427D"/>
    <w:rsid w:val="00FF5B5E"/>
    <w:rsid w:val="00FF63E4"/>
    <w:rsid w:val="00FF704D"/>
    <w:rsid w:val="00FF7E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6232B"/>
  <w15:chartTrackingRefBased/>
  <w15:docId w15:val="{32FD8B9C-D488-44B3-9D55-FAE85818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FA4"/>
    <w:rPr>
      <w:rFonts w:ascii="Times New Roman" w:hAnsi="Times New Roman"/>
      <w:lang w:val="es-ES" w:eastAsia="es-ES"/>
    </w:rPr>
  </w:style>
  <w:style w:type="paragraph" w:styleId="Ttulo3">
    <w:name w:val="heading 3"/>
    <w:basedOn w:val="Normal"/>
    <w:next w:val="Normal"/>
    <w:link w:val="Ttulo3Car"/>
    <w:qFormat/>
    <w:rsid w:val="00B74FA4"/>
    <w:pPr>
      <w:keepNext/>
      <w:spacing w:line="360" w:lineRule="auto"/>
      <w:ind w:left="1416" w:firstLine="708"/>
      <w:jc w:val="both"/>
      <w:outlineLvl w:val="2"/>
    </w:pPr>
    <w:rPr>
      <w:rFonts w:ascii="Arial" w:eastAsia="Times New Roman" w:hAnsi="Arial"/>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B74FA4"/>
    <w:rPr>
      <w:rFonts w:ascii="Arial" w:eastAsia="Times New Roman" w:hAnsi="Arial" w:cs="Times New Roman"/>
      <w:sz w:val="28"/>
      <w:szCs w:val="20"/>
      <w:lang w:val="es-ES_tradnl" w:eastAsia="es-ES"/>
    </w:rPr>
  </w:style>
  <w:style w:type="paragraph" w:styleId="Piedepgina">
    <w:name w:val="footer"/>
    <w:basedOn w:val="Normal"/>
    <w:link w:val="PiedepginaCar"/>
    <w:uiPriority w:val="99"/>
    <w:rsid w:val="00B74FA4"/>
    <w:pPr>
      <w:tabs>
        <w:tab w:val="center" w:pos="4419"/>
        <w:tab w:val="right" w:pos="8838"/>
      </w:tabs>
    </w:pPr>
    <w:rPr>
      <w:rFonts w:ascii="Arial" w:eastAsia="Times New Roman" w:hAnsi="Arial"/>
      <w:sz w:val="26"/>
      <w:lang w:val="es-CO"/>
    </w:rPr>
  </w:style>
  <w:style w:type="character" w:customStyle="1" w:styleId="PiedepginaCar">
    <w:name w:val="Pie de página Car"/>
    <w:link w:val="Piedepgina"/>
    <w:uiPriority w:val="99"/>
    <w:rsid w:val="00B74FA4"/>
    <w:rPr>
      <w:rFonts w:ascii="Arial" w:eastAsia="Times New Roman" w:hAnsi="Arial" w:cs="Times New Roman"/>
      <w:sz w:val="26"/>
      <w:szCs w:val="20"/>
      <w:lang w:eastAsia="es-ES"/>
    </w:rPr>
  </w:style>
  <w:style w:type="character" w:styleId="Nmerodepgina">
    <w:name w:val="page number"/>
    <w:basedOn w:val="Fuentedeprrafopredeter"/>
    <w:rsid w:val="00B74FA4"/>
  </w:style>
  <w:style w:type="paragraph" w:styleId="Encabezado">
    <w:name w:val="header"/>
    <w:basedOn w:val="Normal"/>
    <w:link w:val="EncabezadoCar"/>
    <w:uiPriority w:val="99"/>
    <w:unhideWhenUsed/>
    <w:rsid w:val="00B74FA4"/>
    <w:pPr>
      <w:tabs>
        <w:tab w:val="center" w:pos="4419"/>
        <w:tab w:val="right" w:pos="8838"/>
      </w:tabs>
    </w:pPr>
    <w:rPr>
      <w:rFonts w:ascii="Arial" w:eastAsia="Times New Roman" w:hAnsi="Arial"/>
      <w:sz w:val="26"/>
      <w:lang w:val="es-CO"/>
    </w:rPr>
  </w:style>
  <w:style w:type="character" w:customStyle="1" w:styleId="EncabezadoCar">
    <w:name w:val="Encabezado Car"/>
    <w:link w:val="Encabezado"/>
    <w:uiPriority w:val="99"/>
    <w:rsid w:val="00B74FA4"/>
    <w:rPr>
      <w:rFonts w:ascii="Arial" w:eastAsia="Times New Roman" w:hAnsi="Arial" w:cs="Times New Roman"/>
      <w:sz w:val="26"/>
      <w:szCs w:val="20"/>
      <w:lang w:eastAsia="es-ES"/>
    </w:rPr>
  </w:style>
  <w:style w:type="paragraph" w:styleId="Sangradetextonormal">
    <w:name w:val="Body Text Indent"/>
    <w:basedOn w:val="Normal"/>
    <w:link w:val="SangradetextonormalCar"/>
    <w:uiPriority w:val="99"/>
    <w:unhideWhenUsed/>
    <w:rsid w:val="00B74FA4"/>
    <w:pPr>
      <w:spacing w:after="120"/>
      <w:ind w:left="283"/>
    </w:pPr>
  </w:style>
  <w:style w:type="character" w:customStyle="1" w:styleId="SangradetextonormalCar">
    <w:name w:val="Sangría de texto normal Car"/>
    <w:link w:val="Sangradetextonormal"/>
    <w:uiPriority w:val="99"/>
    <w:rsid w:val="00B74FA4"/>
    <w:rPr>
      <w:rFonts w:ascii="Times New Roman" w:eastAsia="Calibri" w:hAnsi="Times New Roman" w:cs="Times New Roman"/>
      <w:sz w:val="20"/>
      <w:szCs w:val="20"/>
      <w:lang w:val="es-ES" w:eastAsia="es-ES"/>
    </w:rPr>
  </w:style>
  <w:style w:type="character" w:styleId="Refdecomentario">
    <w:name w:val="annotation reference"/>
    <w:uiPriority w:val="99"/>
    <w:semiHidden/>
    <w:unhideWhenUsed/>
    <w:rsid w:val="00B74FA4"/>
    <w:rPr>
      <w:sz w:val="16"/>
      <w:szCs w:val="16"/>
    </w:rPr>
  </w:style>
  <w:style w:type="paragraph" w:styleId="Textocomentario">
    <w:name w:val="annotation text"/>
    <w:basedOn w:val="Normal"/>
    <w:link w:val="TextocomentarioCar"/>
    <w:uiPriority w:val="99"/>
    <w:semiHidden/>
    <w:unhideWhenUsed/>
    <w:rsid w:val="00B74FA4"/>
  </w:style>
  <w:style w:type="character" w:customStyle="1" w:styleId="TextocomentarioCar">
    <w:name w:val="Texto comentario Car"/>
    <w:link w:val="Textocomentario"/>
    <w:uiPriority w:val="99"/>
    <w:semiHidden/>
    <w:rsid w:val="00B74FA4"/>
    <w:rPr>
      <w:rFonts w:ascii="Times New Roman" w:eastAsia="Calibri" w:hAnsi="Times New Roman" w:cs="Times New Roman"/>
      <w:sz w:val="20"/>
      <w:szCs w:val="20"/>
      <w:lang w:val="es-ES" w:eastAsia="es-ES"/>
    </w:rPr>
  </w:style>
  <w:style w:type="paragraph" w:styleId="Sangra3detindependiente">
    <w:name w:val="Body Text Indent 3"/>
    <w:basedOn w:val="Normal"/>
    <w:link w:val="Sangra3detindependienteCar"/>
    <w:unhideWhenUsed/>
    <w:rsid w:val="00B74FA4"/>
    <w:pPr>
      <w:spacing w:after="120"/>
      <w:ind w:left="283"/>
    </w:pPr>
    <w:rPr>
      <w:sz w:val="16"/>
      <w:szCs w:val="16"/>
    </w:rPr>
  </w:style>
  <w:style w:type="character" w:customStyle="1" w:styleId="Sangra3detindependienteCar">
    <w:name w:val="Sangría 3 de t. independiente Car"/>
    <w:link w:val="Sangra3detindependiente"/>
    <w:rsid w:val="00B74FA4"/>
    <w:rPr>
      <w:rFonts w:ascii="Times New Roman" w:eastAsia="Calibri" w:hAnsi="Times New Roman" w:cs="Times New Roman"/>
      <w:sz w:val="16"/>
      <w:szCs w:val="16"/>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
    <w:basedOn w:val="Normal"/>
    <w:link w:val="TextonotapieCar"/>
    <w:unhideWhenUsed/>
    <w:rsid w:val="00B74FA4"/>
    <w:rPr>
      <w:rFonts w:ascii="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B74FA4"/>
    <w:rPr>
      <w:sz w:val="20"/>
      <w:szCs w:val="20"/>
      <w:lang w:val="es-ES"/>
    </w:rPr>
  </w:style>
  <w:style w:type="character" w:styleId="Refdenotaalpie">
    <w:name w:val="footnote reference"/>
    <w:aliases w:val="Texto de nota al pie,FC"/>
    <w:unhideWhenUsed/>
    <w:rsid w:val="00B74FA4"/>
  </w:style>
  <w:style w:type="paragraph" w:styleId="Prrafodelista">
    <w:name w:val="List Paragraph"/>
    <w:basedOn w:val="Normal"/>
    <w:uiPriority w:val="34"/>
    <w:qFormat/>
    <w:rsid w:val="00B74FA4"/>
    <w:pPr>
      <w:spacing w:after="160" w:line="259" w:lineRule="auto"/>
      <w:ind w:left="720"/>
      <w:contextualSpacing/>
    </w:pPr>
    <w:rPr>
      <w:rFonts w:ascii="Calibri" w:hAnsi="Calibri"/>
      <w:sz w:val="22"/>
      <w:szCs w:val="22"/>
      <w:lang w:eastAsia="en-US"/>
    </w:rPr>
  </w:style>
  <w:style w:type="paragraph" w:styleId="Subttulo">
    <w:name w:val="Subtitle"/>
    <w:basedOn w:val="Normal"/>
    <w:link w:val="SubttuloCar"/>
    <w:qFormat/>
    <w:rsid w:val="005C0343"/>
    <w:pPr>
      <w:spacing w:line="360" w:lineRule="auto"/>
      <w:jc w:val="center"/>
    </w:pPr>
    <w:rPr>
      <w:rFonts w:ascii="Arial" w:eastAsia="Times New Roman" w:hAnsi="Arial"/>
      <w:b/>
      <w:sz w:val="32"/>
      <w:lang w:val="es-ES_tradnl"/>
    </w:rPr>
  </w:style>
  <w:style w:type="character" w:customStyle="1" w:styleId="SubttuloCar">
    <w:name w:val="Subtítulo Car"/>
    <w:link w:val="Subttulo"/>
    <w:rsid w:val="005C0343"/>
    <w:rPr>
      <w:rFonts w:ascii="Arial" w:eastAsia="Times New Roman" w:hAnsi="Arial" w:cs="Times New Roman"/>
      <w:b/>
      <w:sz w:val="32"/>
      <w:szCs w:val="20"/>
      <w:lang w:val="es-ES_tradnl" w:eastAsia="es-ES"/>
    </w:rPr>
  </w:style>
  <w:style w:type="paragraph" w:styleId="Textoindependiente">
    <w:name w:val="Body Text"/>
    <w:basedOn w:val="Normal"/>
    <w:link w:val="TextoindependienteCar"/>
    <w:uiPriority w:val="99"/>
    <w:semiHidden/>
    <w:unhideWhenUsed/>
    <w:rsid w:val="00D61659"/>
    <w:pPr>
      <w:spacing w:after="120"/>
    </w:pPr>
  </w:style>
  <w:style w:type="character" w:customStyle="1" w:styleId="TextoindependienteCar">
    <w:name w:val="Texto independiente Car"/>
    <w:link w:val="Textoindependiente"/>
    <w:uiPriority w:val="99"/>
    <w:semiHidden/>
    <w:rsid w:val="00D61659"/>
    <w:rPr>
      <w:rFonts w:ascii="Times New Roman" w:eastAsia="Calibri" w:hAnsi="Times New Roman" w:cs="Times New Roman"/>
      <w:sz w:val="20"/>
      <w:szCs w:val="20"/>
      <w:lang w:val="es-ES" w:eastAsia="es-ES"/>
    </w:rPr>
  </w:style>
  <w:style w:type="paragraph" w:styleId="NormalWeb">
    <w:name w:val="Normal (Web)"/>
    <w:basedOn w:val="Normal"/>
    <w:uiPriority w:val="99"/>
    <w:unhideWhenUsed/>
    <w:rsid w:val="00E52420"/>
    <w:pPr>
      <w:spacing w:before="100" w:beforeAutospacing="1" w:after="100" w:afterAutospacing="1"/>
    </w:pPr>
    <w:rPr>
      <w:rFonts w:eastAsia="Times New Roman"/>
      <w:sz w:val="24"/>
      <w:szCs w:val="24"/>
      <w:lang w:val="es-CO" w:eastAsia="es-CO"/>
    </w:rPr>
  </w:style>
  <w:style w:type="paragraph" w:styleId="Textoindependiente2">
    <w:name w:val="Body Text 2"/>
    <w:basedOn w:val="Normal"/>
    <w:link w:val="Textoindependiente2Car"/>
    <w:uiPriority w:val="99"/>
    <w:semiHidden/>
    <w:unhideWhenUsed/>
    <w:rsid w:val="00134294"/>
    <w:pPr>
      <w:spacing w:after="120" w:line="480" w:lineRule="auto"/>
    </w:pPr>
    <w:rPr>
      <w:rFonts w:ascii="Calibri" w:hAnsi="Calibri"/>
      <w:sz w:val="22"/>
      <w:szCs w:val="22"/>
      <w:lang w:val="es-CO" w:eastAsia="es-CO"/>
    </w:rPr>
  </w:style>
  <w:style w:type="character" w:customStyle="1" w:styleId="Textoindependiente2Car">
    <w:name w:val="Texto independiente 2 Car"/>
    <w:link w:val="Textoindependiente2"/>
    <w:uiPriority w:val="99"/>
    <w:semiHidden/>
    <w:rsid w:val="00134294"/>
    <w:rPr>
      <w:rFonts w:ascii="Calibri" w:eastAsia="Calibri" w:hAnsi="Calibri" w:cs="Times New Roman"/>
      <w:lang w:eastAsia="es-CO"/>
    </w:rPr>
  </w:style>
  <w:style w:type="character" w:styleId="Hipervnculo">
    <w:name w:val="Hyperlink"/>
    <w:uiPriority w:val="99"/>
    <w:semiHidden/>
    <w:unhideWhenUsed/>
    <w:rsid w:val="00134294"/>
    <w:rPr>
      <w:color w:val="0000FF"/>
      <w:u w:val="single"/>
    </w:rPr>
  </w:style>
  <w:style w:type="paragraph" w:styleId="Textodeglobo">
    <w:name w:val="Balloon Text"/>
    <w:basedOn w:val="Normal"/>
    <w:link w:val="TextodegloboCar"/>
    <w:uiPriority w:val="99"/>
    <w:semiHidden/>
    <w:unhideWhenUsed/>
    <w:rsid w:val="00EA2C28"/>
    <w:rPr>
      <w:rFonts w:ascii="Segoe UI" w:hAnsi="Segoe UI" w:cs="Segoe UI"/>
      <w:sz w:val="18"/>
      <w:szCs w:val="18"/>
    </w:rPr>
  </w:style>
  <w:style w:type="character" w:customStyle="1" w:styleId="TextodegloboCar">
    <w:name w:val="Texto de globo Car"/>
    <w:link w:val="Textodeglobo"/>
    <w:uiPriority w:val="99"/>
    <w:semiHidden/>
    <w:rsid w:val="00EA2C28"/>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061782">
      <w:bodyDiv w:val="1"/>
      <w:marLeft w:val="0"/>
      <w:marRight w:val="0"/>
      <w:marTop w:val="0"/>
      <w:marBottom w:val="0"/>
      <w:divBdr>
        <w:top w:val="none" w:sz="0" w:space="0" w:color="auto"/>
        <w:left w:val="none" w:sz="0" w:space="0" w:color="auto"/>
        <w:bottom w:val="none" w:sz="0" w:space="0" w:color="auto"/>
        <w:right w:val="none" w:sz="0" w:space="0" w:color="auto"/>
      </w:divBdr>
    </w:div>
    <w:div w:id="168594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3440-FD41-4050-B63E-B7A5ADF19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6632</Words>
  <Characters>36478</Characters>
  <Application>Microsoft Office Word</Application>
  <DocSecurity>0</DocSecurity>
  <Lines>303</Lines>
  <Paragraphs>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CONSEJO SUPERIOR DE LA JUDICATURA</Company>
  <LinksUpToDate>false</LinksUpToDate>
  <CharactersWithSpaces>43024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Dra.Luz Mery Garcia Tellez</dc:creator>
  <cp:keywords/>
  <dc:description/>
  <cp:lastModifiedBy>Edinson Sabogal Bernal</cp:lastModifiedBy>
  <cp:revision>2</cp:revision>
  <cp:lastPrinted>2020-11-21T16:00:00Z</cp:lastPrinted>
  <dcterms:created xsi:type="dcterms:W3CDTF">2021-06-29T13:40:00Z</dcterms:created>
  <dcterms:modified xsi:type="dcterms:W3CDTF">2021-06-29T13:40:00Z</dcterms:modified>
</cp:coreProperties>
</file>